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E7D8634" w14:textId="009240FA" w:rsidR="002E57EA" w:rsidRPr="002E57EA" w:rsidRDefault="002E57EA" w:rsidP="002E57EA">
      <w:pPr>
        <w:pStyle w:val="Title"/>
        <w:tabs>
          <w:tab w:val="left" w:pos="6330"/>
        </w:tabs>
        <w:jc w:val="center"/>
        <w:rPr>
          <w:rFonts w:ascii="Montserrat Black" w:eastAsia="Montserrat Black" w:hAnsi="Montserrat Black" w:cs="Montserrat Black"/>
          <w:b w:val="0"/>
          <w:color w:val="404040"/>
          <w:sz w:val="44"/>
          <w:szCs w:val="44"/>
        </w:rPr>
      </w:pPr>
      <w:bookmarkStart w:id="0" w:name="_GoBack"/>
      <w:bookmarkEnd w:id="0"/>
      <w:r>
        <w:rPr>
          <w:noProof/>
          <w:lang w:val="en-US" w:eastAsia="en-US"/>
        </w:rPr>
        <w:drawing>
          <wp:anchor distT="0" distB="0" distL="114300" distR="114300" simplePos="0" relativeHeight="251659264" behindDoc="1" locked="0" layoutInCell="1" allowOverlap="1" wp14:anchorId="5E1C6593" wp14:editId="3DDC1A72">
            <wp:simplePos x="0" y="0"/>
            <wp:positionH relativeFrom="margin">
              <wp:posOffset>2548255</wp:posOffset>
            </wp:positionH>
            <wp:positionV relativeFrom="paragraph">
              <wp:posOffset>-695325</wp:posOffset>
            </wp:positionV>
            <wp:extent cx="1152525" cy="1021715"/>
            <wp:effectExtent l="0" t="0" r="9525" b="6985"/>
            <wp:wrapNone/>
            <wp:docPr id="16" name="Picture 16" descr="ChildFund Mozambique | Linked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hildFund Mozambique | LinkedI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152525" cy="1021715"/>
                    </a:xfrm>
                    <a:prstGeom prst="rect">
                      <a:avLst/>
                    </a:prstGeom>
                    <a:noFill/>
                  </pic:spPr>
                </pic:pic>
              </a:graphicData>
            </a:graphic>
            <wp14:sizeRelH relativeFrom="page">
              <wp14:pctWidth>0</wp14:pctWidth>
            </wp14:sizeRelH>
            <wp14:sizeRelV relativeFrom="page">
              <wp14:pctHeight>0</wp14:pctHeight>
            </wp14:sizeRelV>
          </wp:anchor>
        </w:drawing>
      </w:r>
      <w:r>
        <w:rPr>
          <w:noProof/>
          <w:lang w:val="en-US" w:eastAsia="en-US"/>
        </w:rPr>
        <w:drawing>
          <wp:anchor distT="0" distB="0" distL="114300" distR="114300" simplePos="0" relativeHeight="251661312" behindDoc="0" locked="0" layoutInCell="1" allowOverlap="1" wp14:anchorId="0271964B" wp14:editId="4610C83F">
            <wp:simplePos x="0" y="0"/>
            <wp:positionH relativeFrom="column">
              <wp:posOffset>-619125</wp:posOffset>
            </wp:positionH>
            <wp:positionV relativeFrom="paragraph">
              <wp:posOffset>-533400</wp:posOffset>
            </wp:positionV>
            <wp:extent cx="1371600" cy="542925"/>
            <wp:effectExtent l="0" t="0" r="0" b="9525"/>
            <wp:wrapNone/>
            <wp:docPr id="15" name="Picture 15" descr="downlo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png" descr="download"/>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371600" cy="542925"/>
                    </a:xfrm>
                    <a:prstGeom prst="rect">
                      <a:avLst/>
                    </a:prstGeom>
                    <a:noFill/>
                  </pic:spPr>
                </pic:pic>
              </a:graphicData>
            </a:graphic>
            <wp14:sizeRelH relativeFrom="margin">
              <wp14:pctWidth>0</wp14:pctWidth>
            </wp14:sizeRelH>
            <wp14:sizeRelV relativeFrom="margin">
              <wp14:pctHeight>0</wp14:pctHeight>
            </wp14:sizeRelV>
          </wp:anchor>
        </w:drawing>
      </w:r>
      <w:r>
        <w:rPr>
          <w:noProof/>
          <w:lang w:val="en-US" w:eastAsia="en-US"/>
        </w:rPr>
        <w:drawing>
          <wp:anchor distT="0" distB="0" distL="114300" distR="114300" simplePos="0" relativeHeight="251663360" behindDoc="0" locked="0" layoutInCell="1" allowOverlap="1" wp14:anchorId="5A9F5F36" wp14:editId="45E9E79E">
            <wp:simplePos x="0" y="0"/>
            <wp:positionH relativeFrom="column">
              <wp:posOffset>5372100</wp:posOffset>
            </wp:positionH>
            <wp:positionV relativeFrom="paragraph">
              <wp:posOffset>-561975</wp:posOffset>
            </wp:positionV>
            <wp:extent cx="1435735" cy="657225"/>
            <wp:effectExtent l="0" t="0" r="0" b="9525"/>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7.jpg"/>
                    <pic:cNvPicPr>
                      <a:picLocks noChangeAspect="1" noChangeArrowheads="1"/>
                    </pic:cNvPicPr>
                  </pic:nvPicPr>
                  <pic:blipFill>
                    <a:blip r:embed="rId13">
                      <a:extLst>
                        <a:ext uri="{28A0092B-C50C-407E-A947-70E740481C1C}">
                          <a14:useLocalDpi xmlns:a14="http://schemas.microsoft.com/office/drawing/2010/main" val="0"/>
                        </a:ext>
                      </a:extLst>
                    </a:blip>
                    <a:srcRect l="4556" t="2226" r="71243" b="89948"/>
                    <a:stretch>
                      <a:fillRect/>
                    </a:stretch>
                  </pic:blipFill>
                  <pic:spPr bwMode="auto">
                    <a:xfrm>
                      <a:off x="0" y="0"/>
                      <a:ext cx="1435735" cy="657225"/>
                    </a:xfrm>
                    <a:prstGeom prst="rect">
                      <a:avLst/>
                    </a:prstGeom>
                    <a:noFill/>
                  </pic:spPr>
                </pic:pic>
              </a:graphicData>
            </a:graphic>
            <wp14:sizeRelH relativeFrom="margin">
              <wp14:pctWidth>0</wp14:pctWidth>
            </wp14:sizeRelH>
            <wp14:sizeRelV relativeFrom="margin">
              <wp14:pctHeight>0</wp14:pctHeight>
            </wp14:sizeRelV>
          </wp:anchor>
        </w:drawing>
      </w:r>
      <w:r>
        <w:rPr>
          <w:noProof/>
          <w:lang w:val="en-US" w:eastAsia="en-US"/>
        </w:rPr>
        <w:drawing>
          <wp:anchor distT="0" distB="0" distL="114300" distR="114300" simplePos="0" relativeHeight="251664384" behindDoc="0" locked="0" layoutInCell="1" allowOverlap="1" wp14:anchorId="2F147BA7" wp14:editId="59B4E7D0">
            <wp:simplePos x="0" y="0"/>
            <wp:positionH relativeFrom="column">
              <wp:posOffset>981075</wp:posOffset>
            </wp:positionH>
            <wp:positionV relativeFrom="paragraph">
              <wp:posOffset>-608965</wp:posOffset>
            </wp:positionV>
            <wp:extent cx="1130300" cy="789940"/>
            <wp:effectExtent l="0" t="0" r="0" b="0"/>
            <wp:wrapNone/>
            <wp:docPr id="3" name="Picture 3" descr="Reencontro | Apoio às Crianças Orfãs e Vulneráveis ​​em Moçambiqu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5.png" descr="Reencontro | Apoio às Crianças Orfãs e Vulneráveis ​​em Moçambique"/>
                    <pic:cNvPicPr>
                      <a:picLocks noChangeAspect="1" noChangeArrowheads="1"/>
                    </pic:cNvPicPr>
                  </pic:nvPicPr>
                  <pic:blipFill>
                    <a:blip r:embed="rId14">
                      <a:extLst>
                        <a:ext uri="{28A0092B-C50C-407E-A947-70E740481C1C}">
                          <a14:useLocalDpi xmlns:a14="http://schemas.microsoft.com/office/drawing/2010/main" val="0"/>
                        </a:ext>
                      </a:extLst>
                    </a:blip>
                    <a:srcRect l="5119" t="10019" r="3738" b="12085"/>
                    <a:stretch>
                      <a:fillRect/>
                    </a:stretch>
                  </pic:blipFill>
                  <pic:spPr bwMode="auto">
                    <a:xfrm>
                      <a:off x="0" y="0"/>
                      <a:ext cx="1130300" cy="789940"/>
                    </a:xfrm>
                    <a:prstGeom prst="rect">
                      <a:avLst/>
                    </a:prstGeom>
                    <a:noFill/>
                  </pic:spPr>
                </pic:pic>
              </a:graphicData>
            </a:graphic>
            <wp14:sizeRelH relativeFrom="page">
              <wp14:pctWidth>0</wp14:pctWidth>
            </wp14:sizeRelH>
            <wp14:sizeRelV relativeFrom="page">
              <wp14:pctHeight>0</wp14:pctHeight>
            </wp14:sizeRelV>
          </wp:anchor>
        </w:drawing>
      </w:r>
      <w:r>
        <w:rPr>
          <w:noProof/>
          <w:lang w:val="en-US" w:eastAsia="en-US"/>
        </w:rPr>
        <w:drawing>
          <wp:anchor distT="0" distB="0" distL="114300" distR="114300" simplePos="0" relativeHeight="251662336" behindDoc="0" locked="0" layoutInCell="1" allowOverlap="1" wp14:anchorId="3FD888C4" wp14:editId="7728137D">
            <wp:simplePos x="0" y="0"/>
            <wp:positionH relativeFrom="column">
              <wp:posOffset>3923665</wp:posOffset>
            </wp:positionH>
            <wp:positionV relativeFrom="paragraph">
              <wp:posOffset>-533400</wp:posOffset>
            </wp:positionV>
            <wp:extent cx="1374775" cy="600075"/>
            <wp:effectExtent l="0" t="0" r="0" b="9525"/>
            <wp:wrapNone/>
            <wp:docPr id="2" name="Picture 2" descr="Nenhuma descrição de foto disponív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3.jpg" descr="Nenhuma descrição de foto disponível."/>
                    <pic:cNvPicPr>
                      <a:picLocks noChangeAspect="1" noChangeArrowheads="1"/>
                    </pic:cNvPicPr>
                  </pic:nvPicPr>
                  <pic:blipFill>
                    <a:blip r:embed="rId15" cstate="print">
                      <a:extLst>
                        <a:ext uri="{28A0092B-C50C-407E-A947-70E740481C1C}">
                          <a14:useLocalDpi xmlns:a14="http://schemas.microsoft.com/office/drawing/2010/main" val="0"/>
                        </a:ext>
                      </a:extLst>
                    </a:blip>
                    <a:srcRect l="7018" t="27486" r="7018" b="24725"/>
                    <a:stretch>
                      <a:fillRect/>
                    </a:stretch>
                  </pic:blipFill>
                  <pic:spPr bwMode="auto">
                    <a:xfrm>
                      <a:off x="0" y="0"/>
                      <a:ext cx="1374775" cy="600075"/>
                    </a:xfrm>
                    <a:prstGeom prst="rect">
                      <a:avLst/>
                    </a:prstGeom>
                    <a:noFill/>
                  </pic:spPr>
                </pic:pic>
              </a:graphicData>
            </a:graphic>
            <wp14:sizeRelH relativeFrom="margin">
              <wp14:pctWidth>0</wp14:pctWidth>
            </wp14:sizeRelH>
            <wp14:sizeRelV relativeFrom="margin">
              <wp14:pctHeight>0</wp14:pctHeight>
            </wp14:sizeRelV>
          </wp:anchor>
        </w:drawing>
      </w:r>
    </w:p>
    <w:p w14:paraId="71A4D297" w14:textId="77777777" w:rsidR="002E57EA" w:rsidRDefault="002E57EA" w:rsidP="002E57EA">
      <w:pPr>
        <w:spacing w:after="0"/>
        <w:rPr>
          <w:rFonts w:ascii="Times New Roman" w:hAnsi="Times New Roman" w:cs="Times New Roman"/>
        </w:rPr>
      </w:pPr>
      <w:r w:rsidRPr="002E57EA">
        <w:rPr>
          <w:rFonts w:ascii="Times New Roman" w:hAnsi="Times New Roman" w:cs="Times New Roman"/>
        </w:rPr>
        <w:t xml:space="preserve">Fórum de Monitoria de Orçamento </w:t>
      </w:r>
    </w:p>
    <w:p w14:paraId="0964638D" w14:textId="5B2FD5EE" w:rsidR="0020214E" w:rsidRDefault="002E57EA" w:rsidP="002E57EA">
      <w:pPr>
        <w:spacing w:after="0"/>
        <w:rPr>
          <w:rFonts w:ascii="Times New Roman" w:hAnsi="Times New Roman" w:cs="Times New Roman"/>
        </w:rPr>
      </w:pPr>
      <w:r w:rsidRPr="002E57EA">
        <w:rPr>
          <w:rFonts w:ascii="Times New Roman" w:hAnsi="Times New Roman" w:cs="Times New Roman"/>
        </w:rPr>
        <w:t>Reencontro</w:t>
      </w:r>
      <w:r>
        <w:rPr>
          <w:rFonts w:ascii="Times New Roman" w:hAnsi="Times New Roman" w:cs="Times New Roman"/>
        </w:rPr>
        <w:t xml:space="preserve"> - Associação Moçambicana para A</w:t>
      </w:r>
      <w:r w:rsidRPr="002E57EA">
        <w:rPr>
          <w:rFonts w:ascii="Times New Roman" w:hAnsi="Times New Roman" w:cs="Times New Roman"/>
        </w:rPr>
        <w:t xml:space="preserve">poio </w:t>
      </w:r>
      <w:r>
        <w:rPr>
          <w:rFonts w:ascii="Times New Roman" w:hAnsi="Times New Roman" w:cs="Times New Roman"/>
        </w:rPr>
        <w:t>e Desenvolvimento da Criança Órfã e</w:t>
      </w:r>
      <w:r w:rsidRPr="002E57EA">
        <w:rPr>
          <w:rFonts w:ascii="Times New Roman" w:hAnsi="Times New Roman" w:cs="Times New Roman"/>
        </w:rPr>
        <w:t xml:space="preserve"> Vulnerável</w:t>
      </w:r>
    </w:p>
    <w:p w14:paraId="0E85D3BE" w14:textId="70B786B0" w:rsidR="002E57EA" w:rsidRPr="002E57EA" w:rsidRDefault="002E57EA" w:rsidP="002E57EA">
      <w:pPr>
        <w:spacing w:after="0"/>
        <w:rPr>
          <w:rFonts w:ascii="Times New Roman" w:hAnsi="Times New Roman" w:cs="Times New Roman"/>
        </w:rPr>
      </w:pPr>
      <w:r>
        <w:rPr>
          <w:rFonts w:ascii="Times New Roman" w:hAnsi="Times New Roman" w:cs="Times New Roman"/>
        </w:rPr>
        <w:t xml:space="preserve">ChildFund Mozambique </w:t>
      </w:r>
    </w:p>
    <w:p w14:paraId="64E23629" w14:textId="1104A72F" w:rsidR="00070213" w:rsidRPr="0020214E" w:rsidRDefault="0020214E" w:rsidP="0020214E">
      <w:pPr>
        <w:spacing w:after="0" w:line="360" w:lineRule="auto"/>
        <w:rPr>
          <w:rFonts w:ascii="Times New Roman" w:hAnsi="Times New Roman" w:cs="Times New Roman"/>
        </w:rPr>
      </w:pPr>
      <w:bookmarkStart w:id="1" w:name="_gjdgxs" w:colFirst="0" w:colLast="0"/>
      <w:bookmarkEnd w:id="1"/>
      <w:r>
        <w:rPr>
          <w:rFonts w:ascii="Times New Roman" w:hAnsi="Times New Roman" w:cs="Times New Roman"/>
        </w:rPr>
        <w:t xml:space="preserve">Rede para o Desenvolvimento da Primeira Infância </w:t>
      </w:r>
    </w:p>
    <w:p w14:paraId="2A3C8052" w14:textId="215634E4" w:rsidR="00070213" w:rsidRDefault="0020214E" w:rsidP="002E57EA">
      <w:pPr>
        <w:spacing w:after="0" w:line="360" w:lineRule="auto"/>
        <w:rPr>
          <w:rFonts w:ascii="Times New Roman" w:hAnsi="Times New Roman" w:cs="Times New Roman"/>
        </w:rPr>
      </w:pPr>
      <w:r>
        <w:rPr>
          <w:rFonts w:ascii="Times New Roman" w:hAnsi="Times New Roman" w:cs="Times New Roman"/>
        </w:rPr>
        <w:t xml:space="preserve">Fórum da Sociedade Civil para os direitos da Criança  </w:t>
      </w:r>
    </w:p>
    <w:p w14:paraId="0337E0A3" w14:textId="77777777" w:rsidR="002E57EA" w:rsidRPr="002E57EA" w:rsidRDefault="002E57EA" w:rsidP="002E57EA">
      <w:pPr>
        <w:spacing w:after="0" w:line="360" w:lineRule="auto"/>
        <w:rPr>
          <w:rFonts w:ascii="Times New Roman" w:hAnsi="Times New Roman" w:cs="Times New Roman"/>
        </w:rPr>
      </w:pPr>
    </w:p>
    <w:p w14:paraId="2E0B5B54" w14:textId="12C4C214" w:rsidR="0020214E" w:rsidRDefault="0020214E" w:rsidP="002E57EA">
      <w:pPr>
        <w:spacing w:after="0" w:line="360" w:lineRule="auto"/>
        <w:jc w:val="center"/>
        <w:rPr>
          <w:rFonts w:ascii="Times New Roman" w:eastAsia="Montserrat Black" w:hAnsi="Times New Roman" w:cs="Times New Roman"/>
          <w:b/>
          <w:color w:val="000000" w:themeColor="text1"/>
          <w:sz w:val="26"/>
          <w:szCs w:val="26"/>
        </w:rPr>
      </w:pPr>
      <w:r w:rsidRPr="002E57EA">
        <w:rPr>
          <w:rFonts w:ascii="Times New Roman" w:eastAsia="Montserrat Black" w:hAnsi="Times New Roman" w:cs="Times New Roman"/>
          <w:b/>
          <w:color w:val="000000" w:themeColor="text1"/>
          <w:sz w:val="26"/>
          <w:szCs w:val="26"/>
        </w:rPr>
        <w:t>Situação da Alocação Orçamental para a Primeira Infância em Moçambique (2020 -2024)</w:t>
      </w:r>
    </w:p>
    <w:p w14:paraId="6FEF2B18" w14:textId="77777777" w:rsidR="002E57EA" w:rsidRPr="002E57EA" w:rsidRDefault="002E57EA" w:rsidP="002E57EA">
      <w:pPr>
        <w:spacing w:after="0" w:line="360" w:lineRule="auto"/>
        <w:jc w:val="center"/>
        <w:rPr>
          <w:rFonts w:ascii="Times New Roman" w:eastAsia="Montserrat Black" w:hAnsi="Times New Roman" w:cs="Times New Roman"/>
          <w:b/>
          <w:color w:val="000000" w:themeColor="text1"/>
          <w:sz w:val="26"/>
          <w:szCs w:val="26"/>
        </w:rPr>
      </w:pPr>
    </w:p>
    <w:p w14:paraId="48B27CDB" w14:textId="77777777" w:rsidR="000E0336" w:rsidRPr="000E0336" w:rsidRDefault="002E57EA" w:rsidP="000E0336">
      <w:pPr>
        <w:spacing w:after="0" w:line="360" w:lineRule="auto"/>
        <w:rPr>
          <w:rFonts w:ascii="Times New Roman" w:hAnsi="Times New Roman" w:cs="Times New Roman"/>
          <w:b/>
          <w:smallCaps/>
          <w:color w:val="000000" w:themeColor="text1"/>
        </w:rPr>
      </w:pPr>
      <w:r w:rsidRPr="000E0336">
        <w:rPr>
          <w:rFonts w:ascii="Times New Roman" w:hAnsi="Times New Roman" w:cs="Times New Roman"/>
          <w:b/>
          <w:smallCaps/>
          <w:color w:val="000000" w:themeColor="text1"/>
        </w:rPr>
        <w:t>Resumo</w:t>
      </w:r>
    </w:p>
    <w:p w14:paraId="6547F8E5" w14:textId="17D90A3D" w:rsidR="000E0336" w:rsidRDefault="009B5F82" w:rsidP="009B04FA">
      <w:pPr>
        <w:spacing w:after="0" w:line="360" w:lineRule="auto"/>
        <w:jc w:val="both"/>
        <w:rPr>
          <w:rFonts w:ascii="Times New Roman" w:hAnsi="Times New Roman" w:cs="Times New Roman"/>
        </w:rPr>
      </w:pPr>
      <w:r w:rsidRPr="00032B92">
        <w:rPr>
          <w:rFonts w:ascii="Times New Roman" w:hAnsi="Times New Roman" w:cs="Times New Roman"/>
          <w:color w:val="000000" w:themeColor="text1"/>
        </w:rPr>
        <w:t>Os primeiros anos de vida são determinantes para o desenvolvimento físico, cognitivo e emocional humano. Por isso, governos e organizações da sociedade civil priorizam a</w:t>
      </w:r>
      <w:r w:rsidR="00032B92">
        <w:rPr>
          <w:rFonts w:ascii="Times New Roman" w:hAnsi="Times New Roman" w:cs="Times New Roman"/>
          <w:color w:val="000000" w:themeColor="text1"/>
        </w:rPr>
        <w:t>c</w:t>
      </w:r>
      <w:r w:rsidRPr="00032B92">
        <w:rPr>
          <w:rFonts w:ascii="Times New Roman" w:hAnsi="Times New Roman" w:cs="Times New Roman"/>
          <w:color w:val="000000" w:themeColor="text1"/>
        </w:rPr>
        <w:t>ções que garantam o bem-estar na primeira infância. Planos estruturados, políticas públicas eficazes e orçamentos cabais direcionados a esta faixa etária impactam positivamente o futuro das crianças.</w:t>
      </w:r>
      <w:r w:rsidR="00032B92" w:rsidRPr="00032B92">
        <w:rPr>
          <w:rFonts w:ascii="Times New Roman" w:eastAsia="Montserrat Black" w:hAnsi="Times New Roman" w:cs="Times New Roman"/>
          <w:color w:val="000000" w:themeColor="text1"/>
        </w:rPr>
        <w:t xml:space="preserve"> </w:t>
      </w:r>
      <w:r w:rsidR="00032B92">
        <w:rPr>
          <w:rFonts w:ascii="Times New Roman" w:hAnsi="Times New Roman" w:cs="Times New Roman"/>
        </w:rPr>
        <w:t>De modo a refletir sobre a</w:t>
      </w:r>
      <w:r w:rsidR="00032B92" w:rsidRPr="00032B92">
        <w:rPr>
          <w:rFonts w:ascii="Times New Roman" w:hAnsi="Times New Roman" w:cs="Times New Roman"/>
          <w:color w:val="000000" w:themeColor="text1"/>
        </w:rPr>
        <w:t xml:space="preserve"> primeira infância em Moçambique, o presente estudo examina a </w:t>
      </w:r>
      <w:r w:rsidR="00032B92" w:rsidRPr="00032B92">
        <w:rPr>
          <w:rStyle w:val="Strong"/>
          <w:rFonts w:ascii="Times New Roman" w:hAnsi="Times New Roman" w:cs="Times New Roman"/>
          <w:b w:val="0"/>
          <w:color w:val="000000" w:themeColor="text1"/>
        </w:rPr>
        <w:t>‟</w:t>
      </w:r>
      <w:r w:rsidR="00032B92" w:rsidRPr="00032B92">
        <w:rPr>
          <w:rStyle w:val="Strong"/>
          <w:rFonts w:ascii="Times New Roman" w:hAnsi="Times New Roman" w:cs="Times New Roman"/>
          <w:b w:val="0"/>
          <w:i/>
          <w:color w:val="000000" w:themeColor="text1"/>
        </w:rPr>
        <w:t>Situação da Alocação Orçamental para a Primeira Infância em Moçambique (2020-2024)</w:t>
      </w:r>
      <w:r w:rsidR="00032B92" w:rsidRPr="00032B92">
        <w:rPr>
          <w:rStyle w:val="Strong"/>
          <w:rFonts w:ascii="Times New Roman" w:hAnsi="Times New Roman" w:cs="Times New Roman"/>
          <w:b w:val="0"/>
          <w:color w:val="000000" w:themeColor="text1"/>
        </w:rPr>
        <w:t>ˮ</w:t>
      </w:r>
      <w:r w:rsidR="00032B92" w:rsidRPr="00032B92">
        <w:rPr>
          <w:rFonts w:ascii="Times New Roman" w:hAnsi="Times New Roman" w:cs="Times New Roman"/>
          <w:color w:val="000000" w:themeColor="text1"/>
        </w:rPr>
        <w:t>.</w:t>
      </w:r>
      <w:r w:rsidR="00B9171B" w:rsidRPr="00032B92">
        <w:rPr>
          <w:rFonts w:ascii="Times New Roman" w:eastAsia="Montserrat Black" w:hAnsi="Times New Roman" w:cs="Times New Roman"/>
          <w:i/>
          <w:color w:val="000000" w:themeColor="text1"/>
          <w:szCs w:val="26"/>
        </w:rPr>
        <w:t xml:space="preserve"> </w:t>
      </w:r>
      <w:r w:rsidR="00B9171B" w:rsidRPr="00032B92">
        <w:rPr>
          <w:rFonts w:ascii="Times New Roman" w:eastAsia="Montserrat Black" w:hAnsi="Times New Roman" w:cs="Times New Roman"/>
          <w:color w:val="000000" w:themeColor="text1"/>
          <w:szCs w:val="26"/>
        </w:rPr>
        <w:t xml:space="preserve">O objectivo principal desta </w:t>
      </w:r>
      <w:r w:rsidR="00B9171B" w:rsidRPr="00571482">
        <w:rPr>
          <w:rFonts w:ascii="Times New Roman" w:eastAsia="Montserrat Black" w:hAnsi="Times New Roman" w:cs="Times New Roman"/>
          <w:color w:val="000000" w:themeColor="text1"/>
          <w:szCs w:val="26"/>
        </w:rPr>
        <w:t xml:space="preserve">pesquisa é </w:t>
      </w:r>
      <w:r w:rsidR="00B9171B" w:rsidRPr="00571482">
        <w:rPr>
          <w:rFonts w:ascii="Times New Roman" w:hAnsi="Times New Roman" w:cs="Times New Roman"/>
          <w:color w:val="000000" w:themeColor="text1"/>
        </w:rPr>
        <w:t>analisar a situação da alocação orçamental para crianças de 0 a 5 anos em Moçambique, avaliando a eficácia dos recursos aplicados nas áreas de saúde, educação, nutrição e proteção social, de modo a propor recomendações para otimizar o desenvolvimento integral desse grupo</w:t>
      </w:r>
      <w:r w:rsidR="00DB5543" w:rsidRPr="00571482">
        <w:rPr>
          <w:rFonts w:ascii="Times New Roman" w:hAnsi="Times New Roman" w:cs="Times New Roman"/>
          <w:color w:val="000000" w:themeColor="text1"/>
        </w:rPr>
        <w:t xml:space="preserve">. </w:t>
      </w:r>
      <w:r w:rsidR="009B04FA" w:rsidRPr="00571482">
        <w:rPr>
          <w:rFonts w:ascii="Times New Roman" w:hAnsi="Times New Roman" w:cs="Times New Roman"/>
          <w:color w:val="000000" w:themeColor="text1"/>
        </w:rPr>
        <w:t>Através de uma abordagem qualitativa apoiada em pesquisa bibliográfica e documental, conclui-se que as dotações orçamentais para a educação e a saúde ficam aquém dos compromissos de Dakar e Abuja, respetivamente. Adicionalmente, embora se verifique um crescimento nominal ligeiro na alocação de recursos — sobretudo na educação —, regista-se um fosso crescente entre o orçamento nominal e o real. Fatores como a vulnerabilidade fiscal do governo moçambicano, a dependência de parceiros internacionais e a complexidade na gestão e rastreio de recursos financeiros justificam o actual défice no financiamento da primeira infância em Moçambique.</w:t>
      </w:r>
    </w:p>
    <w:p w14:paraId="5979E8E4" w14:textId="77777777" w:rsidR="009B04FA" w:rsidRDefault="009B04FA" w:rsidP="009B04FA">
      <w:pPr>
        <w:spacing w:after="0" w:line="360" w:lineRule="auto"/>
        <w:jc w:val="both"/>
        <w:rPr>
          <w:rFonts w:ascii="Times New Roman" w:hAnsi="Times New Roman" w:cs="Times New Roman"/>
        </w:rPr>
      </w:pPr>
    </w:p>
    <w:p w14:paraId="34E85972" w14:textId="2DE6B46D" w:rsidR="009B04FA" w:rsidRPr="009B04FA" w:rsidRDefault="009B04FA" w:rsidP="00F340AF">
      <w:pPr>
        <w:tabs>
          <w:tab w:val="right" w:pos="9360"/>
        </w:tabs>
        <w:spacing w:after="0" w:line="360" w:lineRule="auto"/>
        <w:jc w:val="both"/>
        <w:rPr>
          <w:rFonts w:ascii="Times New Roman" w:hAnsi="Times New Roman" w:cs="Times New Roman"/>
          <w:b/>
          <w:smallCaps/>
          <w:color w:val="000000"/>
        </w:rPr>
      </w:pPr>
      <w:r w:rsidRPr="009B04FA">
        <w:rPr>
          <w:rFonts w:ascii="Times New Roman" w:hAnsi="Times New Roman" w:cs="Times New Roman"/>
          <w:b/>
        </w:rPr>
        <w:t xml:space="preserve">Palavras-Chave: </w:t>
      </w:r>
      <w:r w:rsidRPr="009B04FA">
        <w:rPr>
          <w:rFonts w:ascii="Times New Roman" w:hAnsi="Times New Roman" w:cs="Times New Roman"/>
        </w:rPr>
        <w:t>Primeira infância; Orçamento; Nutrição; Saúde</w:t>
      </w:r>
      <w:r>
        <w:rPr>
          <w:rFonts w:ascii="Times New Roman" w:hAnsi="Times New Roman" w:cs="Times New Roman"/>
        </w:rPr>
        <w:t xml:space="preserve">; </w:t>
      </w:r>
      <w:r w:rsidRPr="009B04FA">
        <w:rPr>
          <w:rFonts w:ascii="Times New Roman" w:hAnsi="Times New Roman" w:cs="Times New Roman"/>
        </w:rPr>
        <w:t xml:space="preserve">Educação. </w:t>
      </w:r>
      <w:r w:rsidR="00F340AF">
        <w:rPr>
          <w:rFonts w:ascii="Times New Roman" w:hAnsi="Times New Roman" w:cs="Times New Roman"/>
        </w:rPr>
        <w:tab/>
      </w:r>
    </w:p>
    <w:p w14:paraId="41DE1575" w14:textId="77777777" w:rsidR="000E0336" w:rsidRPr="00571482" w:rsidRDefault="000E0336" w:rsidP="000E0336">
      <w:pPr>
        <w:spacing w:after="0" w:line="360" w:lineRule="auto"/>
        <w:rPr>
          <w:rFonts w:ascii="Times New Roman" w:hAnsi="Times New Roman" w:cs="Times New Roman"/>
          <w:b/>
          <w:smallCaps/>
          <w:color w:val="000000" w:themeColor="text1"/>
        </w:rPr>
      </w:pPr>
    </w:p>
    <w:p w14:paraId="2A878582" w14:textId="2E77B334" w:rsidR="00070213" w:rsidRPr="00F340AF" w:rsidRDefault="002E57EA" w:rsidP="002E57EA">
      <w:pPr>
        <w:spacing w:line="360" w:lineRule="auto"/>
        <w:rPr>
          <w:rFonts w:ascii="Times New Roman" w:hAnsi="Times New Roman" w:cs="Times New Roman"/>
          <w:b/>
          <w:color w:val="000000" w:themeColor="text1"/>
          <w:lang w:val="en-US"/>
        </w:rPr>
      </w:pPr>
      <w:r w:rsidRPr="00F340AF">
        <w:rPr>
          <w:rFonts w:ascii="Times New Roman" w:hAnsi="Times New Roman" w:cs="Times New Roman"/>
          <w:b/>
          <w:color w:val="000000" w:themeColor="text1"/>
          <w:lang w:val="en-US"/>
        </w:rPr>
        <w:t>Abstract</w:t>
      </w:r>
    </w:p>
    <w:p w14:paraId="4AEE14D8" w14:textId="246F3611" w:rsidR="009B04FA" w:rsidRPr="00571482" w:rsidRDefault="009B04FA" w:rsidP="009B04FA">
      <w:pPr>
        <w:spacing w:line="360" w:lineRule="auto"/>
        <w:jc w:val="both"/>
        <w:rPr>
          <w:rFonts w:ascii="Times New Roman" w:hAnsi="Times New Roman" w:cs="Times New Roman"/>
          <w:color w:val="000000" w:themeColor="text1"/>
          <w:lang w:val="en-GB"/>
        </w:rPr>
      </w:pPr>
      <w:r w:rsidRPr="00571482">
        <w:rPr>
          <w:rFonts w:ascii="Times New Roman" w:hAnsi="Times New Roman" w:cs="Times New Roman"/>
          <w:color w:val="000000" w:themeColor="text1"/>
          <w:lang w:val="en-GB"/>
        </w:rPr>
        <w:t>The first years of life are crucial for human physical, cognitive, and emotional development. Therefore, governments and civil society organizations prioritize actions that guarantee well-being in early childhood. Structured plans, effective public policies, and comprehensive budgets directed towards this age group positively impact the future of children. In order to reflect on early childhood in Mozambique, this study examines the "Situation of Budgetary Allocation for Early Childhood in Mozambique (2020-2024)". The main objective of this research is to analyze the situation of budgetary allocation for children aged 0 to 5 years in Mozambique, evaluating the effectiveness of resources applied in the areas of health, education, nutrition, and social protection, in order to propose recommendations to optimize the integral development of this group. Through a qualitative approach supported by bibliographic and documentary research, it is concluded that budgetary allocations for education and health fall short of the Dakar and Abuja commitments, respectively. Additionally, although there is a slight nominal increase in resource allocation—especially in education—there is a growing gap between the nominal and real budget. Factors such as the fiscal vulnerability of the Mozambican government, dependence on international partners, and the complexity in managing and tracking financial resources justify the current deficit in early childhood funding in Mozambique.</w:t>
      </w:r>
    </w:p>
    <w:p w14:paraId="59EC2A46" w14:textId="77777777" w:rsidR="00571482" w:rsidRPr="00571482" w:rsidRDefault="00571482" w:rsidP="009B04FA">
      <w:pPr>
        <w:spacing w:line="360" w:lineRule="auto"/>
        <w:jc w:val="both"/>
        <w:rPr>
          <w:rFonts w:ascii="Times New Roman" w:hAnsi="Times New Roman" w:cs="Times New Roman"/>
          <w:color w:val="000000" w:themeColor="text1"/>
          <w:lang w:val="en-GB"/>
        </w:rPr>
      </w:pPr>
    </w:p>
    <w:p w14:paraId="41229BD8" w14:textId="25557166" w:rsidR="002E57EA" w:rsidRPr="00571482" w:rsidRDefault="00571482" w:rsidP="00571482">
      <w:pPr>
        <w:spacing w:line="360" w:lineRule="auto"/>
        <w:rPr>
          <w:rFonts w:ascii="Times New Roman" w:hAnsi="Times New Roman" w:cs="Times New Roman"/>
          <w:color w:val="000000" w:themeColor="text1"/>
          <w:lang w:val="en-US"/>
        </w:rPr>
      </w:pPr>
      <w:r w:rsidRPr="00571482">
        <w:rPr>
          <w:rFonts w:ascii="Times New Roman" w:hAnsi="Times New Roman" w:cs="Times New Roman"/>
          <w:b/>
          <w:color w:val="000000" w:themeColor="text1"/>
          <w:lang w:val="en-US"/>
        </w:rPr>
        <w:t xml:space="preserve">Keywords: </w:t>
      </w:r>
      <w:r w:rsidRPr="00571482">
        <w:rPr>
          <w:rFonts w:ascii="Times New Roman" w:hAnsi="Times New Roman" w:cs="Times New Roman"/>
          <w:color w:val="000000" w:themeColor="text1"/>
          <w:lang w:val="en-US"/>
        </w:rPr>
        <w:t>Early childhood; Budget; Nutrition; Health; Education.</w:t>
      </w:r>
    </w:p>
    <w:p w14:paraId="45F34344" w14:textId="77777777" w:rsidR="002E57EA" w:rsidRPr="009B04FA" w:rsidRDefault="002E57EA" w:rsidP="002E57EA">
      <w:pPr>
        <w:spacing w:line="360" w:lineRule="auto"/>
        <w:jc w:val="center"/>
        <w:rPr>
          <w:rFonts w:ascii="Times New Roman" w:hAnsi="Times New Roman" w:cs="Times New Roman"/>
          <w:b/>
          <w:lang w:val="en-US"/>
        </w:rPr>
      </w:pPr>
    </w:p>
    <w:p w14:paraId="02B59CC4" w14:textId="77777777" w:rsidR="002E57EA" w:rsidRPr="009B04FA" w:rsidRDefault="002E57EA" w:rsidP="002E57EA">
      <w:pPr>
        <w:spacing w:line="360" w:lineRule="auto"/>
        <w:jc w:val="center"/>
        <w:rPr>
          <w:rFonts w:ascii="Times New Roman" w:hAnsi="Times New Roman" w:cs="Times New Roman"/>
          <w:b/>
          <w:lang w:val="en-US"/>
        </w:rPr>
      </w:pPr>
    </w:p>
    <w:p w14:paraId="3046F931" w14:textId="77777777" w:rsidR="002E57EA" w:rsidRPr="009B04FA" w:rsidRDefault="002E57EA" w:rsidP="002E57EA">
      <w:pPr>
        <w:spacing w:line="360" w:lineRule="auto"/>
        <w:jc w:val="center"/>
        <w:rPr>
          <w:rFonts w:ascii="Times New Roman" w:hAnsi="Times New Roman" w:cs="Times New Roman"/>
          <w:b/>
          <w:lang w:val="en-US"/>
        </w:rPr>
      </w:pPr>
    </w:p>
    <w:p w14:paraId="02EAE1B9" w14:textId="77777777" w:rsidR="002E57EA" w:rsidRPr="009B04FA" w:rsidRDefault="002E57EA" w:rsidP="00F340AF">
      <w:pPr>
        <w:spacing w:line="360" w:lineRule="auto"/>
        <w:jc w:val="right"/>
        <w:rPr>
          <w:rFonts w:ascii="Times New Roman" w:hAnsi="Times New Roman" w:cs="Times New Roman"/>
          <w:b/>
          <w:lang w:val="en-US"/>
        </w:rPr>
      </w:pPr>
    </w:p>
    <w:p w14:paraId="6F3B4963" w14:textId="5B8DED8E" w:rsidR="00070213" w:rsidRPr="00581281" w:rsidRDefault="00184FD5" w:rsidP="00581281">
      <w:pPr>
        <w:pStyle w:val="Heading1"/>
        <w:numPr>
          <w:ilvl w:val="0"/>
          <w:numId w:val="10"/>
        </w:numPr>
        <w:spacing w:line="360" w:lineRule="auto"/>
        <w:rPr>
          <w:rFonts w:ascii="Times New Roman" w:hAnsi="Times New Roman" w:cs="Times New Roman"/>
          <w:b/>
          <w:color w:val="auto"/>
          <w:sz w:val="24"/>
          <w:szCs w:val="24"/>
        </w:rPr>
      </w:pPr>
      <w:bookmarkStart w:id="2" w:name="_Toc177992727"/>
      <w:r w:rsidRPr="00581281">
        <w:rPr>
          <w:rFonts w:ascii="Times New Roman" w:hAnsi="Times New Roman" w:cs="Times New Roman"/>
          <w:b/>
          <w:color w:val="auto"/>
          <w:sz w:val="24"/>
          <w:szCs w:val="24"/>
        </w:rPr>
        <w:lastRenderedPageBreak/>
        <w:t>Introdução</w:t>
      </w:r>
      <w:bookmarkEnd w:id="2"/>
    </w:p>
    <w:p w14:paraId="48FB45D6" w14:textId="77777777" w:rsidR="00A23FD0" w:rsidRPr="00581281" w:rsidRDefault="00654FEB" w:rsidP="00581281">
      <w:pPr>
        <w:spacing w:line="360" w:lineRule="auto"/>
        <w:jc w:val="both"/>
        <w:rPr>
          <w:rFonts w:ascii="Times New Roman" w:hAnsi="Times New Roman" w:cs="Times New Roman"/>
          <w:color w:val="auto"/>
        </w:rPr>
      </w:pPr>
      <w:r w:rsidRPr="00581281">
        <w:rPr>
          <w:rFonts w:ascii="Times New Roman" w:hAnsi="Times New Roman" w:cs="Times New Roman"/>
          <w:color w:val="auto"/>
        </w:rPr>
        <w:t>Os primeiros anos de vida de uma criança são</w:t>
      </w:r>
      <w:r w:rsidR="4D21970E" w:rsidRPr="00581281">
        <w:rPr>
          <w:rFonts w:ascii="Times New Roman" w:hAnsi="Times New Roman" w:cs="Times New Roman"/>
          <w:color w:val="auto"/>
        </w:rPr>
        <w:t xml:space="preserve"> um período crucial para o desenvolvimento humano, e as condições nas quais as crianças vivem nos primeiros anos de vida têm impactos duradouros no seu bem-estar e no desenvolvimento socioeconómico de um país. Em Moçambique, </w:t>
      </w:r>
      <w:r w:rsidRPr="00581281">
        <w:rPr>
          <w:rFonts w:ascii="Times New Roman" w:hAnsi="Times New Roman" w:cs="Times New Roman"/>
          <w:color w:val="auto"/>
        </w:rPr>
        <w:t>os</w:t>
      </w:r>
      <w:r w:rsidR="4D21970E" w:rsidRPr="00581281">
        <w:rPr>
          <w:rFonts w:ascii="Times New Roman" w:hAnsi="Times New Roman" w:cs="Times New Roman"/>
          <w:color w:val="auto"/>
        </w:rPr>
        <w:t xml:space="preserve"> menores de 18 anos representam mais da metade da população, totalizando aproximadamente 15 milhões de indivíduos, conforme o Censo de 2017. Dest</w:t>
      </w:r>
      <w:r w:rsidRPr="00581281">
        <w:rPr>
          <w:rFonts w:ascii="Times New Roman" w:hAnsi="Times New Roman" w:cs="Times New Roman"/>
          <w:color w:val="auto"/>
        </w:rPr>
        <w:t>e</w:t>
      </w:r>
      <w:r w:rsidR="4D21970E" w:rsidRPr="00581281">
        <w:rPr>
          <w:rFonts w:ascii="Times New Roman" w:hAnsi="Times New Roman" w:cs="Times New Roman"/>
          <w:color w:val="auto"/>
        </w:rPr>
        <w:t>s, um em cada d</w:t>
      </w:r>
      <w:r w:rsidR="00A23FD0" w:rsidRPr="00581281">
        <w:rPr>
          <w:rFonts w:ascii="Times New Roman" w:hAnsi="Times New Roman" w:cs="Times New Roman"/>
          <w:color w:val="auto"/>
        </w:rPr>
        <w:t>ois</w:t>
      </w:r>
      <w:r w:rsidR="4D21970E" w:rsidRPr="00581281">
        <w:rPr>
          <w:rFonts w:ascii="Times New Roman" w:hAnsi="Times New Roman" w:cs="Times New Roman"/>
          <w:color w:val="auto"/>
        </w:rPr>
        <w:t xml:space="preserve"> vive abaixo da linha de pobreza</w:t>
      </w:r>
      <w:r w:rsidR="00ED436C" w:rsidRPr="00581281">
        <w:rPr>
          <w:rStyle w:val="FootnoteReference"/>
          <w:rFonts w:ascii="Times New Roman" w:hAnsi="Times New Roman" w:cs="Times New Roman"/>
          <w:color w:val="auto"/>
        </w:rPr>
        <w:footnoteReference w:id="1"/>
      </w:r>
      <w:r w:rsidR="4D21970E" w:rsidRPr="00581281">
        <w:rPr>
          <w:rFonts w:ascii="Times New Roman" w:hAnsi="Times New Roman" w:cs="Times New Roman"/>
          <w:color w:val="auto"/>
        </w:rPr>
        <w:t>, com disparidades significativas entre as regiões do Norte e do Sul, bem como entre as zonas urbanas e rurais (UNICEF, 2020)</w:t>
      </w:r>
      <w:r w:rsidR="00BA3D83" w:rsidRPr="00581281">
        <w:rPr>
          <w:rFonts w:ascii="Times New Roman" w:hAnsi="Times New Roman" w:cs="Times New Roman"/>
          <w:color w:val="auto"/>
          <w:vertAlign w:val="superscript"/>
        </w:rPr>
        <w:footnoteReference w:id="2"/>
      </w:r>
      <w:r w:rsidR="4D21970E" w:rsidRPr="00581281">
        <w:rPr>
          <w:rFonts w:ascii="Times New Roman" w:hAnsi="Times New Roman" w:cs="Times New Roman"/>
          <w:color w:val="auto"/>
        </w:rPr>
        <w:t>. Este cenário evidencia a necessidade urgente de avaliar e fortalecer as políticas públicas e a alocação de recursos destinados a este grupo etário.</w:t>
      </w:r>
    </w:p>
    <w:p w14:paraId="40EA4D77" w14:textId="77777777" w:rsidR="00692FF0" w:rsidRPr="00581281" w:rsidRDefault="00BA3D83" w:rsidP="00581281">
      <w:pPr>
        <w:spacing w:line="360" w:lineRule="auto"/>
        <w:jc w:val="both"/>
        <w:rPr>
          <w:rFonts w:ascii="Times New Roman" w:hAnsi="Times New Roman" w:cs="Times New Roman"/>
          <w:color w:val="auto"/>
        </w:rPr>
      </w:pPr>
      <w:r w:rsidRPr="00581281">
        <w:rPr>
          <w:rFonts w:ascii="Times New Roman" w:hAnsi="Times New Roman" w:cs="Times New Roman"/>
          <w:color w:val="auto"/>
        </w:rPr>
        <w:t>A</w:t>
      </w:r>
      <w:r w:rsidR="00A23FD0" w:rsidRPr="00581281">
        <w:rPr>
          <w:rFonts w:ascii="Times New Roman" w:hAnsi="Times New Roman" w:cs="Times New Roman"/>
          <w:color w:val="auto"/>
        </w:rPr>
        <w:t>s crianças entre 0 e</w:t>
      </w:r>
      <w:r w:rsidRPr="00581281">
        <w:rPr>
          <w:rFonts w:ascii="Times New Roman" w:hAnsi="Times New Roman" w:cs="Times New Roman"/>
          <w:color w:val="auto"/>
        </w:rPr>
        <w:t xml:space="preserve"> 5 anos, exige</w:t>
      </w:r>
      <w:r w:rsidR="00A23FD0" w:rsidRPr="00581281">
        <w:rPr>
          <w:rFonts w:ascii="Times New Roman" w:hAnsi="Times New Roman" w:cs="Times New Roman"/>
          <w:color w:val="auto"/>
        </w:rPr>
        <w:t>m</w:t>
      </w:r>
      <w:r w:rsidRPr="00581281">
        <w:rPr>
          <w:rFonts w:ascii="Times New Roman" w:hAnsi="Times New Roman" w:cs="Times New Roman"/>
          <w:color w:val="auto"/>
        </w:rPr>
        <w:t xml:space="preserve"> atenção prioritária, dada a sua vulnerabilidade e importância para o desenvolvimento social e económico do país. Em 2017, o número de crianças de 0 a 4 anos foi estimado em 4.655.732, quase igualmente divididas entre meninos e meninas, representando 17,3% da população total (Instituto Nacional de Estatística, 2017)</w:t>
      </w:r>
      <w:r w:rsidRPr="00581281">
        <w:rPr>
          <w:rFonts w:ascii="Times New Roman" w:hAnsi="Times New Roman" w:cs="Times New Roman"/>
          <w:color w:val="auto"/>
          <w:vertAlign w:val="superscript"/>
        </w:rPr>
        <w:t xml:space="preserve"> </w:t>
      </w:r>
      <w:r w:rsidRPr="00581281">
        <w:rPr>
          <w:rFonts w:ascii="Times New Roman" w:hAnsi="Times New Roman" w:cs="Times New Roman"/>
          <w:color w:val="auto"/>
          <w:vertAlign w:val="superscript"/>
        </w:rPr>
        <w:footnoteReference w:id="3"/>
      </w:r>
      <w:r w:rsidRPr="00581281">
        <w:rPr>
          <w:rFonts w:ascii="Times New Roman" w:hAnsi="Times New Roman" w:cs="Times New Roman"/>
          <w:color w:val="auto"/>
        </w:rPr>
        <w:t>.</w:t>
      </w:r>
    </w:p>
    <w:p w14:paraId="29191E43" w14:textId="77AA9D0D" w:rsidR="00692FF0" w:rsidRPr="00C53D01" w:rsidRDefault="00692FF0" w:rsidP="00581281">
      <w:pPr>
        <w:spacing w:line="360" w:lineRule="auto"/>
        <w:jc w:val="both"/>
        <w:rPr>
          <w:rFonts w:ascii="Times New Roman" w:hAnsi="Times New Roman" w:cs="Times New Roman"/>
          <w:color w:val="000000" w:themeColor="text1"/>
        </w:rPr>
      </w:pPr>
      <w:r w:rsidRPr="00C53D01">
        <w:rPr>
          <w:rFonts w:ascii="Times New Roman" w:eastAsia="Trebuchet MS" w:hAnsi="Times New Roman" w:cs="Times New Roman"/>
          <w:color w:val="000000" w:themeColor="text1"/>
        </w:rPr>
        <w:t>As taxas de mortalidade infantil e infanto-juvenil em Moçambique são de 39 e 60 mortes por 1 000 nados vivos, respetivamente, para o período de cinco anos anterior ao inquérito. A taxa de mortalidade neonatal é de 24 mortes por 1 000 nascidos vivos. Com estes níveis de mortalidade, 1 em cada 17 crianças em Moçambique não sobrevive até ao seu quinto aniversário. As taxas de mortalidade na infância têm vindo a diminuir ao longo do tempo</w:t>
      </w:r>
      <w:r w:rsidRPr="00C53D01">
        <w:rPr>
          <w:rStyle w:val="FootnoteReference"/>
          <w:rFonts w:ascii="Times New Roman" w:eastAsia="Trebuchet MS" w:hAnsi="Times New Roman" w:cs="Times New Roman"/>
          <w:color w:val="000000" w:themeColor="text1"/>
        </w:rPr>
        <w:footnoteReference w:id="4"/>
      </w:r>
      <w:r w:rsidRPr="00C53D01">
        <w:rPr>
          <w:rFonts w:ascii="Times New Roman" w:eastAsia="Trebuchet MS" w:hAnsi="Times New Roman" w:cs="Times New Roman"/>
          <w:color w:val="000000" w:themeColor="text1"/>
        </w:rPr>
        <w:t xml:space="preserve">. </w:t>
      </w:r>
    </w:p>
    <w:p w14:paraId="55BC52D1" w14:textId="702555A3" w:rsidR="26C53724" w:rsidRPr="00C53D01" w:rsidRDefault="00692FF0" w:rsidP="00581281">
      <w:pPr>
        <w:spacing w:line="360" w:lineRule="auto"/>
        <w:jc w:val="both"/>
        <w:rPr>
          <w:rFonts w:ascii="Times New Roman" w:eastAsia="Trebuchet MS" w:hAnsi="Times New Roman" w:cs="Times New Roman"/>
          <w:color w:val="000000" w:themeColor="text1"/>
        </w:rPr>
      </w:pPr>
      <w:r w:rsidRPr="00C53D01">
        <w:rPr>
          <w:rFonts w:ascii="Times New Roman" w:eastAsia="Trebuchet MS" w:hAnsi="Times New Roman" w:cs="Times New Roman"/>
          <w:color w:val="000000" w:themeColor="text1"/>
        </w:rPr>
        <w:t>Desde 1997, a mortalidade infanto-juvenil diminuiu de 201 mortes por 1 000 nascidos vivos para 60.</w:t>
      </w:r>
      <w:r w:rsidR="00581281" w:rsidRPr="00C53D01">
        <w:rPr>
          <w:rFonts w:ascii="Times New Roman" w:eastAsia="Trebuchet MS" w:hAnsi="Times New Roman" w:cs="Times New Roman"/>
          <w:color w:val="000000" w:themeColor="text1"/>
        </w:rPr>
        <w:t xml:space="preserve"> </w:t>
      </w:r>
      <w:r w:rsidR="4D21970E" w:rsidRPr="00C53D01">
        <w:rPr>
          <w:rFonts w:ascii="Times New Roman" w:hAnsi="Times New Roman" w:cs="Times New Roman"/>
          <w:color w:val="000000" w:themeColor="text1"/>
        </w:rPr>
        <w:t xml:space="preserve">No entanto, persistem disparidades entre áreas urbanas e rurais, onde a mortalidade é 12,2 </w:t>
      </w:r>
      <w:r w:rsidR="4D21970E" w:rsidRPr="00C53D01">
        <w:rPr>
          <w:rFonts w:ascii="Times New Roman" w:hAnsi="Times New Roman" w:cs="Times New Roman"/>
          <w:color w:val="000000" w:themeColor="text1"/>
        </w:rPr>
        <w:lastRenderedPageBreak/>
        <w:t>vezes maior. Projecções indicam uma queda contínua para 38,6 por 1.000 nascidos vivos até 2050, reforçando a necessidade de intervenções focalizadas.</w:t>
      </w:r>
      <w:r w:rsidRPr="00C53D01">
        <w:rPr>
          <w:rStyle w:val="FootnoteReference"/>
          <w:rFonts w:ascii="Times New Roman" w:hAnsi="Times New Roman" w:cs="Times New Roman"/>
          <w:color w:val="000000" w:themeColor="text1"/>
        </w:rPr>
        <w:footnoteReference w:id="5"/>
      </w:r>
    </w:p>
    <w:p w14:paraId="338A3A8D" w14:textId="1C0C542A" w:rsidR="26C53724" w:rsidRPr="00581281" w:rsidRDefault="4D21970E" w:rsidP="00581281">
      <w:pPr>
        <w:spacing w:line="360" w:lineRule="auto"/>
        <w:jc w:val="both"/>
        <w:rPr>
          <w:rFonts w:ascii="Times New Roman" w:hAnsi="Times New Roman" w:cs="Times New Roman"/>
          <w:color w:val="auto"/>
        </w:rPr>
      </w:pPr>
      <w:r w:rsidRPr="00581281">
        <w:rPr>
          <w:rFonts w:ascii="Times New Roman" w:hAnsi="Times New Roman" w:cs="Times New Roman"/>
          <w:color w:val="auto"/>
        </w:rPr>
        <w:t>A educação pré-escolar é outro desafio crítico: até Dezembro de 2019</w:t>
      </w:r>
      <w:r w:rsidR="00BA3D83" w:rsidRPr="00581281">
        <w:rPr>
          <w:rFonts w:ascii="Times New Roman" w:hAnsi="Times New Roman" w:cs="Times New Roman"/>
          <w:color w:val="auto"/>
          <w:vertAlign w:val="superscript"/>
        </w:rPr>
        <w:footnoteReference w:id="6"/>
      </w:r>
      <w:r w:rsidRPr="00581281">
        <w:rPr>
          <w:rFonts w:ascii="Times New Roman" w:hAnsi="Times New Roman" w:cs="Times New Roman"/>
          <w:color w:val="auto"/>
        </w:rPr>
        <w:t xml:space="preserve">, apenas 2,3% das crianças dessa faixa etária estavam integradas no sistema formal, evidenciando a carência de </w:t>
      </w:r>
      <w:r w:rsidR="327C4A56" w:rsidRPr="00581281">
        <w:rPr>
          <w:rFonts w:ascii="Times New Roman" w:hAnsi="Times New Roman" w:cs="Times New Roman"/>
          <w:color w:val="auto"/>
        </w:rPr>
        <w:t>infraestruturas</w:t>
      </w:r>
      <w:r w:rsidRPr="00581281">
        <w:rPr>
          <w:rFonts w:ascii="Times New Roman" w:hAnsi="Times New Roman" w:cs="Times New Roman"/>
          <w:color w:val="auto"/>
        </w:rPr>
        <w:t xml:space="preserve">, especialmente em áreas rurais, </w:t>
      </w:r>
      <w:r w:rsidR="00692FF0" w:rsidRPr="00581281">
        <w:rPr>
          <w:rFonts w:ascii="Times New Roman" w:hAnsi="Times New Roman" w:cs="Times New Roman"/>
          <w:color w:val="auto"/>
        </w:rPr>
        <w:t xml:space="preserve">o </w:t>
      </w:r>
      <w:r w:rsidRPr="00581281">
        <w:rPr>
          <w:rFonts w:ascii="Times New Roman" w:hAnsi="Times New Roman" w:cs="Times New Roman"/>
          <w:color w:val="auto"/>
        </w:rPr>
        <w:t xml:space="preserve">que limita o acesso a serviços essenciais. Além disso, o registro de nascimentos, fundamental para garantir direitos e acesso a serviços públicos, ainda não cobre metade das crianças menores de cinco anos, </w:t>
      </w:r>
      <w:r w:rsidR="00F35E81" w:rsidRPr="00581281">
        <w:rPr>
          <w:rFonts w:ascii="Times New Roman" w:eastAsia="Trebuchet MS" w:hAnsi="Times New Roman" w:cs="Times New Roman"/>
          <w:color w:val="231F20"/>
        </w:rPr>
        <w:t xml:space="preserve">havendo (entre 2011 e 2022–23) uma redução da percentagem de registo de nascimento de crianças menores de 5 anos de 48% para 31% e uma redução de crianças com certidão de nascimento de 28% para 25% respetivamente </w:t>
      </w:r>
      <w:r w:rsidRPr="00581281">
        <w:rPr>
          <w:rFonts w:ascii="Times New Roman" w:hAnsi="Times New Roman" w:cs="Times New Roman"/>
          <w:color w:val="auto"/>
        </w:rPr>
        <w:t>(UNFPA, 2021; UNICEF, 2022</w:t>
      </w:r>
      <w:r w:rsidR="00F35E81" w:rsidRPr="00581281">
        <w:rPr>
          <w:rFonts w:ascii="Times New Roman" w:hAnsi="Times New Roman" w:cs="Times New Roman"/>
          <w:color w:val="auto"/>
        </w:rPr>
        <w:t>;</w:t>
      </w:r>
      <w:r w:rsidR="00F35E81" w:rsidRPr="00581281">
        <w:rPr>
          <w:rFonts w:ascii="Times New Roman" w:eastAsia="Trebuchet MS" w:hAnsi="Times New Roman" w:cs="Times New Roman"/>
          <w:color w:val="231F20"/>
        </w:rPr>
        <w:t xml:space="preserve"> IDS, 2022-2023</w:t>
      </w:r>
      <w:r w:rsidR="00F35E81" w:rsidRPr="00581281">
        <w:rPr>
          <w:rFonts w:ascii="Times New Roman" w:hAnsi="Times New Roman" w:cs="Times New Roman"/>
          <w:color w:val="auto"/>
        </w:rPr>
        <w:t xml:space="preserve"> </w:t>
      </w:r>
      <w:r w:rsidRPr="00581281">
        <w:rPr>
          <w:rFonts w:ascii="Times New Roman" w:hAnsi="Times New Roman" w:cs="Times New Roman"/>
          <w:color w:val="auto"/>
        </w:rPr>
        <w:t>).</w:t>
      </w:r>
      <w:r w:rsidR="00F35E81" w:rsidRPr="00581281">
        <w:rPr>
          <w:rFonts w:ascii="Times New Roman" w:eastAsia="Trebuchet MS" w:hAnsi="Times New Roman" w:cs="Times New Roman"/>
          <w:color w:val="231F20"/>
        </w:rPr>
        <w:t xml:space="preserve"> </w:t>
      </w:r>
    </w:p>
    <w:p w14:paraId="3D0FF6F6" w14:textId="76B30886" w:rsidR="26C53724" w:rsidRPr="00581281" w:rsidRDefault="4D21970E" w:rsidP="00581281">
      <w:pPr>
        <w:spacing w:line="360" w:lineRule="auto"/>
        <w:jc w:val="both"/>
        <w:rPr>
          <w:rFonts w:ascii="Times New Roman" w:hAnsi="Times New Roman" w:cs="Times New Roman"/>
          <w:color w:val="auto"/>
        </w:rPr>
      </w:pPr>
      <w:r w:rsidRPr="00581281">
        <w:rPr>
          <w:rFonts w:ascii="Times New Roman" w:hAnsi="Times New Roman" w:cs="Times New Roman"/>
          <w:color w:val="auto"/>
        </w:rPr>
        <w:t>No âmbito da nutr</w:t>
      </w:r>
      <w:r w:rsidR="00F35E81" w:rsidRPr="00581281">
        <w:rPr>
          <w:rFonts w:ascii="Times New Roman" w:hAnsi="Times New Roman" w:cs="Times New Roman"/>
          <w:color w:val="auto"/>
        </w:rPr>
        <w:t xml:space="preserve">ição, </w:t>
      </w:r>
      <w:r w:rsidR="00F35E81" w:rsidRPr="00581281">
        <w:rPr>
          <w:rFonts w:ascii="Times New Roman" w:eastAsia="Trebuchet MS" w:hAnsi="Times New Roman" w:cs="Times New Roman"/>
          <w:color w:val="231F20"/>
        </w:rPr>
        <w:t>37% das crianças com menos de 5 anos sofrem de desnutrição crónic</w:t>
      </w:r>
      <w:r w:rsidR="008D10D8" w:rsidRPr="00581281">
        <w:rPr>
          <w:rFonts w:ascii="Times New Roman" w:eastAsia="Trebuchet MS" w:hAnsi="Times New Roman" w:cs="Times New Roman"/>
          <w:color w:val="231F20"/>
        </w:rPr>
        <w:t>a (baixa altura para a idade). Sendo a</w:t>
      </w:r>
      <w:r w:rsidR="00F35E81" w:rsidRPr="00581281">
        <w:rPr>
          <w:rFonts w:ascii="Times New Roman" w:eastAsia="Trebuchet MS" w:hAnsi="Times New Roman" w:cs="Times New Roman"/>
          <w:color w:val="231F20"/>
        </w:rPr>
        <w:t xml:space="preserve"> percentagem de crianças com desnutrição crónica é maior na área rural (41%) do que na área urbana (26%)</w:t>
      </w:r>
      <w:r w:rsidR="00F35E81" w:rsidRPr="00581281">
        <w:rPr>
          <w:rStyle w:val="FootnoteReference"/>
          <w:rFonts w:ascii="Times New Roman" w:eastAsia="Trebuchet MS" w:hAnsi="Times New Roman" w:cs="Times New Roman"/>
          <w:color w:val="231F20"/>
        </w:rPr>
        <w:footnoteReference w:id="7"/>
      </w:r>
      <w:r w:rsidR="00F35E81" w:rsidRPr="00581281">
        <w:rPr>
          <w:rFonts w:ascii="Times New Roman" w:eastAsia="Trebuchet MS" w:hAnsi="Times New Roman" w:cs="Times New Roman"/>
          <w:color w:val="231F20"/>
        </w:rPr>
        <w:t>. A desnutrição</w:t>
      </w:r>
      <w:r w:rsidR="00F35E81" w:rsidRPr="00581281">
        <w:rPr>
          <w:rFonts w:ascii="Times New Roman" w:hAnsi="Times New Roman" w:cs="Times New Roman"/>
          <w:color w:val="auto"/>
        </w:rPr>
        <w:t xml:space="preserve"> afecta</w:t>
      </w:r>
      <w:r w:rsidRPr="00581281">
        <w:rPr>
          <w:rFonts w:ascii="Times New Roman" w:hAnsi="Times New Roman" w:cs="Times New Roman"/>
          <w:color w:val="auto"/>
        </w:rPr>
        <w:t xml:space="preserve"> negativamente a saúde, o </w:t>
      </w:r>
      <w:r w:rsidR="00F35E81" w:rsidRPr="00581281">
        <w:rPr>
          <w:rFonts w:ascii="Times New Roman" w:hAnsi="Times New Roman" w:cs="Times New Roman"/>
          <w:color w:val="auto"/>
        </w:rPr>
        <w:t>desempenho escolar e perpetua</w:t>
      </w:r>
      <w:r w:rsidRPr="00581281">
        <w:rPr>
          <w:rFonts w:ascii="Times New Roman" w:hAnsi="Times New Roman" w:cs="Times New Roman"/>
          <w:color w:val="auto"/>
        </w:rPr>
        <w:t xml:space="preserve"> um ciclo de pobreza intergeracional</w:t>
      </w:r>
      <w:r w:rsidR="00BA3D83" w:rsidRPr="00581281">
        <w:rPr>
          <w:rFonts w:ascii="Times New Roman" w:hAnsi="Times New Roman" w:cs="Times New Roman"/>
          <w:color w:val="auto"/>
          <w:vertAlign w:val="superscript"/>
        </w:rPr>
        <w:footnoteReference w:id="8"/>
      </w:r>
      <w:r w:rsidRPr="00581281">
        <w:rPr>
          <w:rFonts w:ascii="Times New Roman" w:hAnsi="Times New Roman" w:cs="Times New Roman"/>
          <w:color w:val="auto"/>
        </w:rPr>
        <w:t>. Os factores subjacentes incluem a dependência de agricultura de subsistência e a vulnerabilidade climática do país.</w:t>
      </w:r>
    </w:p>
    <w:p w14:paraId="35F3E157" w14:textId="77777777" w:rsidR="00070213" w:rsidRPr="00581281" w:rsidRDefault="00BA3D83" w:rsidP="00581281">
      <w:pPr>
        <w:spacing w:line="360" w:lineRule="auto"/>
        <w:jc w:val="both"/>
        <w:rPr>
          <w:rFonts w:ascii="Times New Roman" w:hAnsi="Times New Roman" w:cs="Times New Roman"/>
          <w:color w:val="auto"/>
        </w:rPr>
      </w:pPr>
      <w:r w:rsidRPr="00581281">
        <w:rPr>
          <w:rFonts w:ascii="Times New Roman" w:hAnsi="Times New Roman" w:cs="Times New Roman"/>
          <w:color w:val="auto"/>
        </w:rPr>
        <w:t>Diante desse cenário, este estudo busca analisar a alocação orçamental do Estado para crianças de 0 a 5 anos, avaliando a eficácia dos recursos aplicados e propondo melhorias que assegurem o bem-estar social e o desenvolvimento sustentável da infância em Moçambique.</w:t>
      </w:r>
    </w:p>
    <w:p w14:paraId="67000700" w14:textId="77777777" w:rsidR="00581281" w:rsidRPr="00581281" w:rsidRDefault="00184FD5" w:rsidP="00581281">
      <w:pPr>
        <w:pStyle w:val="Heading1"/>
        <w:numPr>
          <w:ilvl w:val="0"/>
          <w:numId w:val="10"/>
        </w:numPr>
        <w:spacing w:after="0" w:line="360" w:lineRule="auto"/>
        <w:rPr>
          <w:rFonts w:ascii="Times New Roman" w:hAnsi="Times New Roman" w:cs="Times New Roman"/>
          <w:b/>
          <w:color w:val="auto"/>
          <w:sz w:val="24"/>
          <w:szCs w:val="24"/>
        </w:rPr>
      </w:pPr>
      <w:bookmarkStart w:id="3" w:name="_Toc177992728"/>
      <w:r w:rsidRPr="00581281">
        <w:rPr>
          <w:rFonts w:ascii="Times New Roman" w:hAnsi="Times New Roman" w:cs="Times New Roman"/>
          <w:b/>
          <w:color w:val="auto"/>
          <w:sz w:val="24"/>
          <w:szCs w:val="24"/>
        </w:rPr>
        <w:t>Objectivos</w:t>
      </w:r>
      <w:bookmarkEnd w:id="3"/>
      <w:r w:rsidR="00581281" w:rsidRPr="00581281">
        <w:rPr>
          <w:rFonts w:ascii="Times New Roman" w:hAnsi="Times New Roman" w:cs="Times New Roman"/>
          <w:b/>
          <w:color w:val="auto"/>
          <w:sz w:val="24"/>
          <w:szCs w:val="24"/>
        </w:rPr>
        <w:t xml:space="preserve"> </w:t>
      </w:r>
    </w:p>
    <w:p w14:paraId="6CF16BA9" w14:textId="4DACE8D4" w:rsidR="00581281" w:rsidRPr="00581281" w:rsidRDefault="00463858" w:rsidP="00581281">
      <w:pPr>
        <w:pStyle w:val="Heading1"/>
        <w:numPr>
          <w:ilvl w:val="1"/>
          <w:numId w:val="12"/>
        </w:numPr>
        <w:spacing w:after="0" w:line="360" w:lineRule="auto"/>
        <w:rPr>
          <w:rFonts w:ascii="Times New Roman" w:hAnsi="Times New Roman" w:cs="Times New Roman"/>
          <w:b/>
          <w:color w:val="auto"/>
          <w:sz w:val="24"/>
          <w:szCs w:val="24"/>
        </w:rPr>
      </w:pPr>
      <w:r>
        <w:rPr>
          <w:rFonts w:ascii="Times New Roman" w:hAnsi="Times New Roman" w:cs="Times New Roman"/>
          <w:b/>
          <w:color w:val="auto"/>
          <w:sz w:val="24"/>
          <w:szCs w:val="24"/>
        </w:rPr>
        <w:t xml:space="preserve"> </w:t>
      </w:r>
      <w:r w:rsidR="00581281" w:rsidRPr="00581281">
        <w:rPr>
          <w:rFonts w:ascii="Times New Roman" w:hAnsi="Times New Roman" w:cs="Times New Roman"/>
          <w:b/>
          <w:color w:val="auto"/>
          <w:sz w:val="24"/>
          <w:szCs w:val="24"/>
        </w:rPr>
        <w:t xml:space="preserve">Objetivo geral </w:t>
      </w:r>
    </w:p>
    <w:p w14:paraId="72AA4C2E" w14:textId="40FC7E70" w:rsidR="00463858" w:rsidRPr="00B9171B" w:rsidRDefault="00B9171B" w:rsidP="00B9171B">
      <w:pPr>
        <w:pStyle w:val="ListParagraph"/>
        <w:numPr>
          <w:ilvl w:val="0"/>
          <w:numId w:val="17"/>
        </w:numPr>
        <w:spacing w:after="0" w:line="360" w:lineRule="auto"/>
        <w:jc w:val="both"/>
        <w:rPr>
          <w:rFonts w:ascii="Times New Roman" w:hAnsi="Times New Roman" w:cs="Times New Roman"/>
          <w:color w:val="000000" w:themeColor="text1"/>
        </w:rPr>
      </w:pPr>
      <w:r w:rsidRPr="00B9171B">
        <w:rPr>
          <w:rFonts w:ascii="Times New Roman" w:eastAsia="Montserrat Black" w:hAnsi="Times New Roman" w:cs="Times New Roman"/>
          <w:color w:val="000000" w:themeColor="text1"/>
          <w:szCs w:val="26"/>
        </w:rPr>
        <w:t xml:space="preserve">O objectivo principal desta pesquisa é </w:t>
      </w:r>
      <w:r w:rsidRPr="00B9171B">
        <w:rPr>
          <w:rFonts w:ascii="Times New Roman" w:hAnsi="Times New Roman" w:cs="Times New Roman"/>
          <w:color w:val="auto"/>
        </w:rPr>
        <w:t xml:space="preserve">analisar a situação da alocação orçamental para crianças de 0 a 5 anos em Moçambique, avaliando a eficácia dos recursos aplicados nas </w:t>
      </w:r>
      <w:r w:rsidRPr="00B9171B">
        <w:rPr>
          <w:rFonts w:ascii="Times New Roman" w:hAnsi="Times New Roman" w:cs="Times New Roman"/>
          <w:color w:val="auto"/>
        </w:rPr>
        <w:lastRenderedPageBreak/>
        <w:t xml:space="preserve">áreas de saúde, educação, nutrição e proteção social, </w:t>
      </w:r>
      <w:r w:rsidRPr="00B9171B">
        <w:rPr>
          <w:rFonts w:ascii="Times New Roman" w:hAnsi="Times New Roman" w:cs="Times New Roman"/>
          <w:color w:val="000000" w:themeColor="text1"/>
        </w:rPr>
        <w:t>de modo a propor recomendações para otimizar o desenvolvimento integral desse grupo</w:t>
      </w:r>
      <w:r>
        <w:rPr>
          <w:rFonts w:ascii="Times New Roman" w:hAnsi="Times New Roman" w:cs="Times New Roman"/>
          <w:color w:val="000000" w:themeColor="text1"/>
        </w:rPr>
        <w:t>.</w:t>
      </w:r>
    </w:p>
    <w:p w14:paraId="17547154" w14:textId="77777777" w:rsidR="00B9171B" w:rsidRDefault="00B9171B" w:rsidP="00463858">
      <w:pPr>
        <w:pStyle w:val="ListParagraph"/>
        <w:spacing w:after="0"/>
        <w:ind w:left="360"/>
        <w:rPr>
          <w:rFonts w:ascii="Times New Roman" w:hAnsi="Times New Roman" w:cs="Times New Roman"/>
          <w:b/>
          <w:color w:val="000000" w:themeColor="text1"/>
        </w:rPr>
      </w:pPr>
    </w:p>
    <w:p w14:paraId="58CE1383" w14:textId="1DB1EBB9" w:rsidR="00581281" w:rsidRPr="00463858" w:rsidRDefault="00463858" w:rsidP="00463858">
      <w:pPr>
        <w:pStyle w:val="ListParagraph"/>
        <w:numPr>
          <w:ilvl w:val="1"/>
          <w:numId w:val="12"/>
        </w:numPr>
        <w:spacing w:after="0"/>
        <w:rPr>
          <w:rFonts w:ascii="Times New Roman" w:hAnsi="Times New Roman" w:cs="Times New Roman"/>
          <w:b/>
          <w:color w:val="000000" w:themeColor="text1"/>
        </w:rPr>
      </w:pPr>
      <w:r>
        <w:rPr>
          <w:rFonts w:ascii="Times New Roman" w:hAnsi="Times New Roman" w:cs="Times New Roman"/>
          <w:b/>
          <w:color w:val="000000" w:themeColor="text1"/>
        </w:rPr>
        <w:t xml:space="preserve"> </w:t>
      </w:r>
      <w:r w:rsidR="00581281" w:rsidRPr="00463858">
        <w:rPr>
          <w:rFonts w:ascii="Times New Roman" w:hAnsi="Times New Roman" w:cs="Times New Roman"/>
          <w:b/>
          <w:color w:val="000000" w:themeColor="text1"/>
        </w:rPr>
        <w:t xml:space="preserve">Objectivos específicos </w:t>
      </w:r>
    </w:p>
    <w:p w14:paraId="32E31D62" w14:textId="1E0B7E11" w:rsidR="00070213" w:rsidRPr="00581281" w:rsidRDefault="00BA3D83" w:rsidP="00463858">
      <w:pPr>
        <w:numPr>
          <w:ilvl w:val="0"/>
          <w:numId w:val="4"/>
        </w:numPr>
        <w:pBdr>
          <w:top w:val="nil"/>
          <w:left w:val="nil"/>
          <w:bottom w:val="nil"/>
          <w:right w:val="nil"/>
          <w:between w:val="nil"/>
        </w:pBdr>
        <w:spacing w:after="0" w:line="360" w:lineRule="auto"/>
        <w:jc w:val="both"/>
        <w:rPr>
          <w:rFonts w:ascii="Times New Roman" w:hAnsi="Times New Roman" w:cs="Times New Roman"/>
          <w:color w:val="auto"/>
        </w:rPr>
      </w:pPr>
      <w:r w:rsidRPr="00581281">
        <w:rPr>
          <w:rFonts w:ascii="Times New Roman" w:hAnsi="Times New Roman" w:cs="Times New Roman"/>
          <w:color w:val="auto"/>
        </w:rPr>
        <w:t>Avaliar a distribuição e utilização dos recursos orçamentais destinados à saúde infantil, com foco na redução da mortalidade e melhoria das condições de saneamento e nutri</w:t>
      </w:r>
      <w:r w:rsidR="00463858">
        <w:rPr>
          <w:rFonts w:ascii="Times New Roman" w:hAnsi="Times New Roman" w:cs="Times New Roman"/>
          <w:color w:val="auto"/>
        </w:rPr>
        <w:t>ção para crianças de 0 a 5 anos;</w:t>
      </w:r>
    </w:p>
    <w:p w14:paraId="4DEB0DDF" w14:textId="1BA1A893" w:rsidR="00070213" w:rsidRPr="00581281" w:rsidRDefault="00BA3D83" w:rsidP="00463858">
      <w:pPr>
        <w:numPr>
          <w:ilvl w:val="0"/>
          <w:numId w:val="4"/>
        </w:numPr>
        <w:pBdr>
          <w:top w:val="nil"/>
          <w:left w:val="nil"/>
          <w:bottom w:val="nil"/>
          <w:right w:val="nil"/>
          <w:between w:val="nil"/>
        </w:pBdr>
        <w:spacing w:after="0" w:line="360" w:lineRule="auto"/>
        <w:jc w:val="both"/>
        <w:rPr>
          <w:rFonts w:ascii="Times New Roman" w:hAnsi="Times New Roman" w:cs="Times New Roman"/>
          <w:color w:val="auto"/>
        </w:rPr>
      </w:pPr>
      <w:r w:rsidRPr="00581281">
        <w:rPr>
          <w:rFonts w:ascii="Times New Roman" w:hAnsi="Times New Roman" w:cs="Times New Roman"/>
          <w:color w:val="auto"/>
        </w:rPr>
        <w:t>Examinar a cobertura e a qualidade dos serviços de educação pré-escolar, identificando barreiras e oportunidades para a ampliação do acess</w:t>
      </w:r>
      <w:r w:rsidR="00463858">
        <w:rPr>
          <w:rFonts w:ascii="Times New Roman" w:hAnsi="Times New Roman" w:cs="Times New Roman"/>
          <w:color w:val="auto"/>
        </w:rPr>
        <w:t>o em diferentes regiões do país;</w:t>
      </w:r>
    </w:p>
    <w:p w14:paraId="4D7FF29C" w14:textId="306B3A65" w:rsidR="00070213" w:rsidRPr="00581281" w:rsidRDefault="00BA3D83" w:rsidP="00463858">
      <w:pPr>
        <w:numPr>
          <w:ilvl w:val="0"/>
          <w:numId w:val="4"/>
        </w:numPr>
        <w:pBdr>
          <w:top w:val="nil"/>
          <w:left w:val="nil"/>
          <w:bottom w:val="nil"/>
          <w:right w:val="nil"/>
          <w:between w:val="nil"/>
        </w:pBdr>
        <w:spacing w:after="0" w:line="360" w:lineRule="auto"/>
        <w:jc w:val="both"/>
        <w:rPr>
          <w:rFonts w:ascii="Times New Roman" w:hAnsi="Times New Roman" w:cs="Times New Roman"/>
          <w:color w:val="auto"/>
        </w:rPr>
      </w:pPr>
      <w:r w:rsidRPr="00581281">
        <w:rPr>
          <w:rFonts w:ascii="Times New Roman" w:hAnsi="Times New Roman" w:cs="Times New Roman"/>
          <w:color w:val="auto"/>
        </w:rPr>
        <w:t>Analisar as políticas públicas e os programas de protecção social vo</w:t>
      </w:r>
      <w:r w:rsidR="00463858">
        <w:rPr>
          <w:rFonts w:ascii="Times New Roman" w:hAnsi="Times New Roman" w:cs="Times New Roman"/>
          <w:color w:val="auto"/>
        </w:rPr>
        <w:t>ltados para a primeira infância;</w:t>
      </w:r>
    </w:p>
    <w:p w14:paraId="3820C370" w14:textId="0237163C" w:rsidR="00070213" w:rsidRPr="00581281" w:rsidRDefault="00BA3D83" w:rsidP="00463858">
      <w:pPr>
        <w:numPr>
          <w:ilvl w:val="0"/>
          <w:numId w:val="4"/>
        </w:numPr>
        <w:pBdr>
          <w:top w:val="nil"/>
          <w:left w:val="nil"/>
          <w:bottom w:val="nil"/>
          <w:right w:val="nil"/>
          <w:between w:val="nil"/>
        </w:pBdr>
        <w:spacing w:line="360" w:lineRule="auto"/>
        <w:jc w:val="both"/>
        <w:rPr>
          <w:rFonts w:ascii="Times New Roman" w:hAnsi="Times New Roman" w:cs="Times New Roman"/>
          <w:color w:val="auto"/>
        </w:rPr>
      </w:pPr>
      <w:r w:rsidRPr="00581281">
        <w:rPr>
          <w:rFonts w:ascii="Times New Roman" w:hAnsi="Times New Roman" w:cs="Times New Roman"/>
          <w:color w:val="auto"/>
        </w:rPr>
        <w:t>Identificar as lacunas existentes na alocação orçamental para c</w:t>
      </w:r>
      <w:r w:rsidR="00DB5543">
        <w:rPr>
          <w:rFonts w:ascii="Times New Roman" w:hAnsi="Times New Roman" w:cs="Times New Roman"/>
          <w:color w:val="auto"/>
        </w:rPr>
        <w:t xml:space="preserve">rianças de 0 a 5 anos,  propor </w:t>
      </w:r>
      <w:r w:rsidRPr="00581281">
        <w:rPr>
          <w:rFonts w:ascii="Times New Roman" w:hAnsi="Times New Roman" w:cs="Times New Roman"/>
          <w:color w:val="auto"/>
        </w:rPr>
        <w:t>estratégias e recomendações para o uso mais eficiente dos recursos públicos.</w:t>
      </w:r>
    </w:p>
    <w:p w14:paraId="5BF68271" w14:textId="7064587E" w:rsidR="00070213" w:rsidRPr="00463858" w:rsidRDefault="00BA3D83" w:rsidP="00463858">
      <w:pPr>
        <w:pStyle w:val="Heading1"/>
        <w:numPr>
          <w:ilvl w:val="0"/>
          <w:numId w:val="12"/>
        </w:numPr>
        <w:spacing w:after="0" w:line="360" w:lineRule="auto"/>
        <w:rPr>
          <w:rFonts w:ascii="Times New Roman" w:hAnsi="Times New Roman" w:cs="Times New Roman"/>
          <w:b/>
          <w:color w:val="auto"/>
          <w:sz w:val="24"/>
          <w:szCs w:val="24"/>
        </w:rPr>
      </w:pPr>
      <w:bookmarkStart w:id="4" w:name="_Toc177992731"/>
      <w:r w:rsidRPr="00463858">
        <w:rPr>
          <w:rFonts w:ascii="Times New Roman" w:hAnsi="Times New Roman" w:cs="Times New Roman"/>
          <w:b/>
          <w:color w:val="auto"/>
          <w:sz w:val="24"/>
          <w:szCs w:val="24"/>
        </w:rPr>
        <w:t>Metodologia</w:t>
      </w:r>
      <w:bookmarkEnd w:id="4"/>
      <w:r w:rsidRPr="00463858">
        <w:rPr>
          <w:rFonts w:ascii="Times New Roman" w:hAnsi="Times New Roman" w:cs="Times New Roman"/>
          <w:b/>
          <w:color w:val="auto"/>
          <w:sz w:val="24"/>
          <w:szCs w:val="24"/>
        </w:rPr>
        <w:t xml:space="preserve"> </w:t>
      </w:r>
    </w:p>
    <w:p w14:paraId="1386DBDD" w14:textId="27A7FE00" w:rsidR="00070213" w:rsidRPr="00581281" w:rsidRDefault="00BA3D83" w:rsidP="00463858">
      <w:pPr>
        <w:spacing w:before="240" w:line="360" w:lineRule="auto"/>
        <w:jc w:val="both"/>
        <w:rPr>
          <w:rFonts w:ascii="Times New Roman" w:eastAsia="Quattrocento Sans" w:hAnsi="Times New Roman" w:cs="Times New Roman"/>
          <w:color w:val="auto"/>
        </w:rPr>
      </w:pPr>
      <w:r w:rsidRPr="00581281">
        <w:rPr>
          <w:rFonts w:ascii="Times New Roman" w:eastAsia="Quattrocento Sans" w:hAnsi="Times New Roman" w:cs="Times New Roman"/>
          <w:color w:val="auto"/>
        </w:rPr>
        <w:t>Este estudo baseou-se em uma abordagem combinada que incluiu revisão bibliográfica, análise de documentos oficiais, entrevistas semiestruturadas e análise de dados quantitativos.</w:t>
      </w:r>
      <w:r w:rsidR="00463858">
        <w:rPr>
          <w:rFonts w:ascii="Times New Roman" w:eastAsia="Quattrocento Sans" w:hAnsi="Times New Roman" w:cs="Times New Roman"/>
          <w:color w:val="auto"/>
        </w:rPr>
        <w:t xml:space="preserve"> </w:t>
      </w:r>
      <w:r w:rsidRPr="00581281">
        <w:rPr>
          <w:rFonts w:ascii="Times New Roman" w:eastAsia="Quattrocento Sans" w:hAnsi="Times New Roman" w:cs="Times New Roman"/>
          <w:color w:val="auto"/>
        </w:rPr>
        <w:t xml:space="preserve">A revisão bibliográfica foi realizada com o </w:t>
      </w:r>
      <w:r w:rsidR="00207CBB" w:rsidRPr="00581281">
        <w:rPr>
          <w:rFonts w:ascii="Times New Roman" w:eastAsia="Quattrocento Sans" w:hAnsi="Times New Roman" w:cs="Times New Roman"/>
          <w:color w:val="auto"/>
        </w:rPr>
        <w:t>objectivo</w:t>
      </w:r>
      <w:r w:rsidRPr="00581281">
        <w:rPr>
          <w:rFonts w:ascii="Times New Roman" w:eastAsia="Quattrocento Sans" w:hAnsi="Times New Roman" w:cs="Times New Roman"/>
          <w:color w:val="auto"/>
        </w:rPr>
        <w:t xml:space="preserve"> de identificar estudos e pesquisas relevantes sobre a alocação de recursos para crianças de 0 a 5 anos em Moçambique, permitindo uma compreensão aprofundada do contexto e das tendências nessa área. A análise de documentos oficiais desempenhou um papel central na identificação das políticas públicas que influenciam a alocação de recursos. Foram analisados documentos como leis, decretos, planos (incluindo o Plano Quinquenal do Governo 2020-2024) e relatórios governamentais para compreender as </w:t>
      </w:r>
      <w:r w:rsidR="00207CBB" w:rsidRPr="00581281">
        <w:rPr>
          <w:rFonts w:ascii="Times New Roman" w:eastAsia="Quattrocento Sans" w:hAnsi="Times New Roman" w:cs="Times New Roman"/>
          <w:color w:val="auto"/>
        </w:rPr>
        <w:t>directrizes</w:t>
      </w:r>
      <w:r w:rsidRPr="00581281">
        <w:rPr>
          <w:rFonts w:ascii="Times New Roman" w:eastAsia="Quattrocento Sans" w:hAnsi="Times New Roman" w:cs="Times New Roman"/>
          <w:color w:val="auto"/>
        </w:rPr>
        <w:t xml:space="preserve"> vigentes.</w:t>
      </w:r>
    </w:p>
    <w:p w14:paraId="37AD5B5E" w14:textId="45168B43" w:rsidR="00070213" w:rsidRPr="00581281" w:rsidRDefault="00BA3D83" w:rsidP="00463858">
      <w:pPr>
        <w:spacing w:line="360" w:lineRule="auto"/>
        <w:jc w:val="both"/>
        <w:rPr>
          <w:rFonts w:ascii="Times New Roman" w:eastAsia="Quattrocento Sans" w:hAnsi="Times New Roman" w:cs="Times New Roman"/>
          <w:color w:val="auto"/>
        </w:rPr>
      </w:pPr>
      <w:r w:rsidRPr="00581281">
        <w:rPr>
          <w:rFonts w:ascii="Times New Roman" w:eastAsia="Quattrocento Sans" w:hAnsi="Times New Roman" w:cs="Times New Roman"/>
          <w:color w:val="auto"/>
        </w:rPr>
        <w:t xml:space="preserve">As entrevistas semiestruturadas foram conduzidas com especialistas e formuladores de políticas públicas, com o intuito de </w:t>
      </w:r>
      <w:r w:rsidR="00207CBB" w:rsidRPr="00581281">
        <w:rPr>
          <w:rFonts w:ascii="Times New Roman" w:eastAsia="Quattrocento Sans" w:hAnsi="Times New Roman" w:cs="Times New Roman"/>
          <w:color w:val="auto"/>
        </w:rPr>
        <w:t>colectar</w:t>
      </w:r>
      <w:r w:rsidRPr="00581281">
        <w:rPr>
          <w:rFonts w:ascii="Times New Roman" w:eastAsia="Quattrocento Sans" w:hAnsi="Times New Roman" w:cs="Times New Roman"/>
          <w:color w:val="auto"/>
        </w:rPr>
        <w:t xml:space="preserve"> informações qualitativas que complementassem os dados documentais e bibliográficos. Por fim, a análise quantitativa de dados foi realizada utilizando informações provenientes do Ministério da Economia e Finanças (MEF), do Plano Económico e Social e Orçamento do Estado (PESOE) e do Instituto Nacional de Estatística (INE). Esses dados </w:t>
      </w:r>
      <w:r w:rsidRPr="00581281">
        <w:rPr>
          <w:rFonts w:ascii="Times New Roman" w:eastAsia="Quattrocento Sans" w:hAnsi="Times New Roman" w:cs="Times New Roman"/>
          <w:color w:val="auto"/>
        </w:rPr>
        <w:lastRenderedPageBreak/>
        <w:t>foram essenciais para avaliar as despesas governamentais, as taxas de cobertura em áreas como educação pré-escolar e de vacinação, as taxas de mortalidade infantil e os índices de desenvolvimento infantil.</w:t>
      </w:r>
    </w:p>
    <w:p w14:paraId="1096F3D4" w14:textId="77777777" w:rsidR="00070213" w:rsidRPr="00581281" w:rsidRDefault="00BA3D83" w:rsidP="00581281">
      <w:pPr>
        <w:spacing w:line="360" w:lineRule="auto"/>
        <w:jc w:val="both"/>
        <w:rPr>
          <w:rFonts w:ascii="Times New Roman" w:eastAsia="Quattrocento Sans" w:hAnsi="Times New Roman" w:cs="Times New Roman"/>
          <w:color w:val="auto"/>
        </w:rPr>
      </w:pPr>
      <w:r w:rsidRPr="00581281">
        <w:rPr>
          <w:rFonts w:ascii="Times New Roman" w:eastAsia="Quattrocento Sans" w:hAnsi="Times New Roman" w:cs="Times New Roman"/>
          <w:color w:val="auto"/>
        </w:rPr>
        <w:t>Essa metodologia integrada forneceu uma base sólida para a análise da alocação de recursos e do orçamento do Estado destinado às crianças de 0 a 5 anos em Moçambique, garantindo uma visão completa e fundamentada do tema.</w:t>
      </w:r>
    </w:p>
    <w:p w14:paraId="0A14B4DB" w14:textId="0305FF33" w:rsidR="00070213" w:rsidRPr="00463858" w:rsidRDefault="00BA3D83" w:rsidP="00463858">
      <w:pPr>
        <w:pStyle w:val="Heading1"/>
        <w:numPr>
          <w:ilvl w:val="0"/>
          <w:numId w:val="12"/>
        </w:numPr>
        <w:spacing w:line="360" w:lineRule="auto"/>
        <w:rPr>
          <w:rFonts w:ascii="Times New Roman" w:hAnsi="Times New Roman" w:cs="Times New Roman"/>
          <w:b/>
          <w:color w:val="auto"/>
          <w:sz w:val="24"/>
          <w:szCs w:val="24"/>
        </w:rPr>
      </w:pPr>
      <w:bookmarkStart w:id="5" w:name="_Toc177992732"/>
      <w:r w:rsidRPr="00463858">
        <w:rPr>
          <w:rFonts w:ascii="Times New Roman" w:hAnsi="Times New Roman" w:cs="Times New Roman"/>
          <w:b/>
          <w:color w:val="auto"/>
          <w:sz w:val="24"/>
          <w:szCs w:val="24"/>
        </w:rPr>
        <w:t xml:space="preserve">Porque </w:t>
      </w:r>
      <w:r w:rsidR="00D60A61" w:rsidRPr="00463858">
        <w:rPr>
          <w:rFonts w:ascii="Times New Roman" w:hAnsi="Times New Roman" w:cs="Times New Roman"/>
          <w:b/>
          <w:color w:val="auto"/>
          <w:sz w:val="24"/>
          <w:szCs w:val="24"/>
        </w:rPr>
        <w:t>P</w:t>
      </w:r>
      <w:r w:rsidRPr="00463858">
        <w:rPr>
          <w:rFonts w:ascii="Times New Roman" w:hAnsi="Times New Roman" w:cs="Times New Roman"/>
          <w:b/>
          <w:color w:val="auto"/>
          <w:sz w:val="24"/>
          <w:szCs w:val="24"/>
        </w:rPr>
        <w:t xml:space="preserve">riorizar </w:t>
      </w:r>
      <w:r w:rsidR="00D60A61" w:rsidRPr="00463858">
        <w:rPr>
          <w:rFonts w:ascii="Times New Roman" w:hAnsi="Times New Roman" w:cs="Times New Roman"/>
          <w:b/>
          <w:color w:val="auto"/>
          <w:sz w:val="24"/>
          <w:szCs w:val="24"/>
        </w:rPr>
        <w:t>a A</w:t>
      </w:r>
      <w:r w:rsidRPr="00463858">
        <w:rPr>
          <w:rFonts w:ascii="Times New Roman" w:hAnsi="Times New Roman" w:cs="Times New Roman"/>
          <w:b/>
          <w:color w:val="auto"/>
          <w:sz w:val="24"/>
          <w:szCs w:val="24"/>
        </w:rPr>
        <w:t xml:space="preserve">locação </w:t>
      </w:r>
      <w:r w:rsidR="00D60A61" w:rsidRPr="00463858">
        <w:rPr>
          <w:rFonts w:ascii="Times New Roman" w:hAnsi="Times New Roman" w:cs="Times New Roman"/>
          <w:b/>
          <w:color w:val="auto"/>
          <w:sz w:val="24"/>
          <w:szCs w:val="24"/>
        </w:rPr>
        <w:t>O</w:t>
      </w:r>
      <w:r w:rsidRPr="00463858">
        <w:rPr>
          <w:rFonts w:ascii="Times New Roman" w:hAnsi="Times New Roman" w:cs="Times New Roman"/>
          <w:b/>
          <w:color w:val="auto"/>
          <w:sz w:val="24"/>
          <w:szCs w:val="24"/>
        </w:rPr>
        <w:t xml:space="preserve">rçamental na </w:t>
      </w:r>
      <w:r w:rsidR="00D60A61" w:rsidRPr="00463858">
        <w:rPr>
          <w:rFonts w:ascii="Times New Roman" w:hAnsi="Times New Roman" w:cs="Times New Roman"/>
          <w:b/>
          <w:color w:val="auto"/>
          <w:sz w:val="24"/>
          <w:szCs w:val="24"/>
        </w:rPr>
        <w:t>P</w:t>
      </w:r>
      <w:r w:rsidRPr="00463858">
        <w:rPr>
          <w:rFonts w:ascii="Times New Roman" w:hAnsi="Times New Roman" w:cs="Times New Roman"/>
          <w:b/>
          <w:color w:val="auto"/>
          <w:sz w:val="24"/>
          <w:szCs w:val="24"/>
        </w:rPr>
        <w:t xml:space="preserve">rimeira </w:t>
      </w:r>
      <w:r w:rsidR="00D60A61" w:rsidRPr="00463858">
        <w:rPr>
          <w:rFonts w:ascii="Times New Roman" w:hAnsi="Times New Roman" w:cs="Times New Roman"/>
          <w:b/>
          <w:color w:val="auto"/>
          <w:sz w:val="24"/>
          <w:szCs w:val="24"/>
        </w:rPr>
        <w:t>I</w:t>
      </w:r>
      <w:r w:rsidRPr="00463858">
        <w:rPr>
          <w:rFonts w:ascii="Times New Roman" w:hAnsi="Times New Roman" w:cs="Times New Roman"/>
          <w:b/>
          <w:color w:val="auto"/>
          <w:sz w:val="24"/>
          <w:szCs w:val="24"/>
        </w:rPr>
        <w:t>nf</w:t>
      </w:r>
      <w:r w:rsidR="00D60A61" w:rsidRPr="00463858">
        <w:rPr>
          <w:rFonts w:ascii="Times New Roman" w:hAnsi="Times New Roman" w:cs="Times New Roman"/>
          <w:b/>
          <w:color w:val="auto"/>
          <w:sz w:val="24"/>
          <w:szCs w:val="24"/>
        </w:rPr>
        <w:t>â</w:t>
      </w:r>
      <w:r w:rsidRPr="00463858">
        <w:rPr>
          <w:rFonts w:ascii="Times New Roman" w:hAnsi="Times New Roman" w:cs="Times New Roman"/>
          <w:b/>
          <w:color w:val="auto"/>
          <w:sz w:val="24"/>
          <w:szCs w:val="24"/>
        </w:rPr>
        <w:t>ncia</w:t>
      </w:r>
      <w:r w:rsidR="00184FD5" w:rsidRPr="00463858">
        <w:rPr>
          <w:rFonts w:ascii="Times New Roman" w:hAnsi="Times New Roman" w:cs="Times New Roman"/>
          <w:b/>
          <w:color w:val="auto"/>
          <w:sz w:val="24"/>
          <w:szCs w:val="24"/>
        </w:rPr>
        <w:t>?</w:t>
      </w:r>
      <w:bookmarkEnd w:id="5"/>
    </w:p>
    <w:p w14:paraId="576AE8CF" w14:textId="77777777" w:rsidR="00070213" w:rsidRDefault="00BA3D83" w:rsidP="00581281">
      <w:pPr>
        <w:spacing w:line="360" w:lineRule="auto"/>
        <w:jc w:val="both"/>
        <w:rPr>
          <w:rFonts w:ascii="Times New Roman" w:hAnsi="Times New Roman" w:cs="Times New Roman"/>
          <w:color w:val="auto"/>
        </w:rPr>
      </w:pPr>
      <w:r w:rsidRPr="00581281">
        <w:rPr>
          <w:rFonts w:ascii="Times New Roman" w:hAnsi="Times New Roman" w:cs="Times New Roman"/>
          <w:color w:val="auto"/>
        </w:rPr>
        <w:t>Investir na infância é uma estratégia fundamental para o desenvolvimento sustentável de Moçambique. Várias razões fundamentam essa necessidade, destacando tanto os benefícios económicos quanto os sociais. A seguir, são apresentadas as principais razões para priorizar o investimento na criança.</w:t>
      </w:r>
    </w:p>
    <w:p w14:paraId="63E4B9E6" w14:textId="77777777" w:rsidR="00D055A7" w:rsidRPr="00D055A7" w:rsidRDefault="00D055A7" w:rsidP="00D055A7">
      <w:pPr>
        <w:pStyle w:val="ListParagraph"/>
        <w:numPr>
          <w:ilvl w:val="1"/>
          <w:numId w:val="12"/>
        </w:numPr>
        <w:spacing w:after="0" w:line="360" w:lineRule="auto"/>
        <w:jc w:val="both"/>
        <w:rPr>
          <w:rFonts w:ascii="Times New Roman" w:hAnsi="Times New Roman" w:cs="Times New Roman"/>
          <w:b/>
          <w:color w:val="auto"/>
        </w:rPr>
      </w:pPr>
      <w:r w:rsidRPr="00D055A7">
        <w:rPr>
          <w:rFonts w:ascii="Times New Roman" w:hAnsi="Times New Roman" w:cs="Times New Roman"/>
          <w:b/>
          <w:color w:val="auto"/>
        </w:rPr>
        <w:t>Retorno económico do investimento</w:t>
      </w:r>
    </w:p>
    <w:p w14:paraId="56C6E8FC" w14:textId="27E4E709" w:rsidR="00D055A7" w:rsidRDefault="00BA3D83" w:rsidP="00D055A7">
      <w:pPr>
        <w:spacing w:after="0" w:line="360" w:lineRule="auto"/>
        <w:jc w:val="both"/>
        <w:rPr>
          <w:rFonts w:ascii="Times New Roman" w:hAnsi="Times New Roman" w:cs="Times New Roman"/>
          <w:color w:val="auto"/>
        </w:rPr>
      </w:pPr>
      <w:r w:rsidRPr="00D055A7">
        <w:rPr>
          <w:rFonts w:ascii="Times New Roman" w:hAnsi="Times New Roman" w:cs="Times New Roman"/>
          <w:color w:val="auto"/>
        </w:rPr>
        <w:t xml:space="preserve">Investir na educação infantil é uma abordagem eficaz em termos de custo que promove o crescimento </w:t>
      </w:r>
      <w:r w:rsidR="00AC2A6F" w:rsidRPr="00D055A7">
        <w:rPr>
          <w:rFonts w:ascii="Times New Roman" w:hAnsi="Times New Roman" w:cs="Times New Roman"/>
          <w:color w:val="auto"/>
        </w:rPr>
        <w:t>económico</w:t>
      </w:r>
      <w:r w:rsidRPr="00D055A7">
        <w:rPr>
          <w:rFonts w:ascii="Times New Roman" w:hAnsi="Times New Roman" w:cs="Times New Roman"/>
          <w:color w:val="auto"/>
        </w:rPr>
        <w:t xml:space="preserve"> a longo prazo. Estudos, como os de Heckman (2008), demonstram que cada dólar investido em educação infantil pode gerar retornos significativos, minimizando custos futuros associados a problemas sociais e de saúde. A educação de qualidade na primeira infância não apenas melhora as perspectivas de vida das crianças, mas também reduz a necessidade de gastos com serviços sociais e de saúde no futuro.</w:t>
      </w:r>
    </w:p>
    <w:p w14:paraId="1B86184B" w14:textId="42C09A85" w:rsidR="00D055A7" w:rsidRPr="00D055A7" w:rsidRDefault="00D055A7" w:rsidP="00D055A7">
      <w:pPr>
        <w:pStyle w:val="ListParagraph"/>
        <w:numPr>
          <w:ilvl w:val="1"/>
          <w:numId w:val="12"/>
        </w:numPr>
        <w:spacing w:before="240" w:after="0" w:line="360" w:lineRule="auto"/>
        <w:jc w:val="both"/>
        <w:rPr>
          <w:rFonts w:ascii="Times New Roman" w:hAnsi="Times New Roman" w:cs="Times New Roman"/>
          <w:b/>
          <w:color w:val="auto"/>
        </w:rPr>
      </w:pPr>
      <w:r w:rsidRPr="00D055A7">
        <w:rPr>
          <w:rFonts w:ascii="Times New Roman" w:hAnsi="Times New Roman" w:cs="Times New Roman"/>
          <w:b/>
          <w:color w:val="auto"/>
        </w:rPr>
        <w:t xml:space="preserve">Fase crítica de desenvolvimento </w:t>
      </w:r>
    </w:p>
    <w:p w14:paraId="309FE8BB" w14:textId="1EEE9523" w:rsidR="00D055A7" w:rsidRPr="00D055A7" w:rsidRDefault="00BA3D83" w:rsidP="00D055A7">
      <w:pPr>
        <w:spacing w:line="360" w:lineRule="auto"/>
        <w:jc w:val="both"/>
        <w:rPr>
          <w:rFonts w:ascii="Times New Roman" w:hAnsi="Times New Roman" w:cs="Times New Roman"/>
          <w:color w:val="auto"/>
        </w:rPr>
      </w:pPr>
      <w:r w:rsidRPr="00581281">
        <w:rPr>
          <w:rFonts w:ascii="Times New Roman" w:hAnsi="Times New Roman" w:cs="Times New Roman"/>
          <w:color w:val="auto"/>
        </w:rPr>
        <w:t>A primeira infância é uma fase crucial para o desenvolvimento humano. Investimentos realizados nessa etapa têm um retorno maior. Pesquisas recentes, utilizando tecnologias como a ressonância magnética funcional, mostram como o cérebro se desenvolve estruturalmente e funcionalmente durante os primeiros anos de vida (Shonkoff &amp; Phillips, 2000). As ameaças ao desenvolvimento nesta fase incluem desnutrição, doenças infecciosas e pobreza extrema, que, se não abordadas, podem resultar em consequências graves e duradouras (Black et al., 2017).</w:t>
      </w:r>
    </w:p>
    <w:p w14:paraId="4DEA0E31" w14:textId="77777777" w:rsidR="00D055A7" w:rsidRDefault="00D055A7" w:rsidP="00D055A7">
      <w:pPr>
        <w:pStyle w:val="ListParagraph"/>
        <w:numPr>
          <w:ilvl w:val="1"/>
          <w:numId w:val="12"/>
        </w:numPr>
        <w:spacing w:after="0" w:line="360" w:lineRule="auto"/>
        <w:jc w:val="both"/>
        <w:rPr>
          <w:rFonts w:ascii="Times New Roman" w:hAnsi="Times New Roman" w:cs="Times New Roman"/>
          <w:b/>
          <w:color w:val="auto"/>
        </w:rPr>
      </w:pPr>
      <w:r w:rsidRPr="00D055A7">
        <w:rPr>
          <w:rFonts w:ascii="Times New Roman" w:hAnsi="Times New Roman" w:cs="Times New Roman"/>
          <w:b/>
          <w:color w:val="auto"/>
        </w:rPr>
        <w:t xml:space="preserve">Priorizar crianças em risco </w:t>
      </w:r>
    </w:p>
    <w:p w14:paraId="5063E1F5" w14:textId="408AF3AD" w:rsidR="00D055A7" w:rsidRDefault="00BA3D83" w:rsidP="00D055A7">
      <w:pPr>
        <w:spacing w:after="0" w:line="360" w:lineRule="auto"/>
        <w:jc w:val="both"/>
        <w:rPr>
          <w:rFonts w:ascii="Times New Roman" w:hAnsi="Times New Roman" w:cs="Times New Roman"/>
          <w:b/>
          <w:color w:val="auto"/>
        </w:rPr>
      </w:pPr>
      <w:r w:rsidRPr="00D055A7">
        <w:rPr>
          <w:rFonts w:ascii="Times New Roman" w:hAnsi="Times New Roman" w:cs="Times New Roman"/>
          <w:color w:val="auto"/>
        </w:rPr>
        <w:lastRenderedPageBreak/>
        <w:t>É essencial priorizar o investimento em educação infantil de qualidade para crianças em risco, especialmente aquelas provenientes de ambientes desfavorecidos, como em Cabo Delgado. Muitas dessas crianças não recebem o apoio necessário, o que pode levar a um aumento nos custos sociais, como saúde precária, altas taxas de abandono escolar e criminalidade. Programas de "coaching parental" e educação na primeira infância são fundamentais para mitigar esses riscos e promover um desenvolvimento saudável (Engle et al., 2011).</w:t>
      </w:r>
    </w:p>
    <w:p w14:paraId="2DB2F8DC" w14:textId="77777777" w:rsidR="00D055A7" w:rsidRPr="00D055A7" w:rsidRDefault="00D055A7" w:rsidP="00D055A7">
      <w:pPr>
        <w:spacing w:after="0" w:line="360" w:lineRule="auto"/>
        <w:jc w:val="both"/>
        <w:rPr>
          <w:rFonts w:ascii="Times New Roman" w:hAnsi="Times New Roman" w:cs="Times New Roman"/>
          <w:b/>
          <w:color w:val="auto"/>
        </w:rPr>
      </w:pPr>
    </w:p>
    <w:p w14:paraId="5D98ABE6" w14:textId="5FD3D438" w:rsidR="00D055A7" w:rsidRPr="00D055A7" w:rsidRDefault="00D055A7" w:rsidP="00D055A7">
      <w:pPr>
        <w:spacing w:after="0" w:line="360" w:lineRule="auto"/>
        <w:jc w:val="both"/>
        <w:rPr>
          <w:rFonts w:ascii="Times New Roman" w:hAnsi="Times New Roman" w:cs="Times New Roman"/>
          <w:b/>
          <w:color w:val="auto"/>
        </w:rPr>
      </w:pPr>
      <w:r w:rsidRPr="00D055A7">
        <w:rPr>
          <w:rFonts w:ascii="Times New Roman" w:hAnsi="Times New Roman" w:cs="Times New Roman"/>
          <w:b/>
          <w:color w:val="auto"/>
        </w:rPr>
        <w:t>4.4.Aumento da produtividade total dos factores</w:t>
      </w:r>
    </w:p>
    <w:p w14:paraId="5D37A395" w14:textId="3CF52580" w:rsidR="00070213" w:rsidRDefault="00BA3D83" w:rsidP="00D055A7">
      <w:pPr>
        <w:spacing w:after="0" w:line="360" w:lineRule="auto"/>
        <w:jc w:val="both"/>
        <w:rPr>
          <w:rFonts w:ascii="Times New Roman" w:hAnsi="Times New Roman" w:cs="Times New Roman"/>
          <w:color w:val="auto"/>
        </w:rPr>
      </w:pPr>
      <w:r w:rsidRPr="00D055A7">
        <w:rPr>
          <w:rFonts w:ascii="Times New Roman" w:hAnsi="Times New Roman" w:cs="Times New Roman"/>
          <w:color w:val="auto"/>
        </w:rPr>
        <w:t>Investir na infância contribui para o aumento da produtividade total do fa</w:t>
      </w:r>
      <w:r w:rsidR="00AC2A6F" w:rsidRPr="00D055A7">
        <w:rPr>
          <w:rFonts w:ascii="Times New Roman" w:hAnsi="Times New Roman" w:cs="Times New Roman"/>
          <w:color w:val="auto"/>
        </w:rPr>
        <w:t>c</w:t>
      </w:r>
      <w:r w:rsidRPr="00D055A7">
        <w:rPr>
          <w:rFonts w:ascii="Times New Roman" w:hAnsi="Times New Roman" w:cs="Times New Roman"/>
          <w:color w:val="auto"/>
        </w:rPr>
        <w:t xml:space="preserve">tor, elevando o potencial do Produto Interno Bruto (PIB) do país. Crianças </w:t>
      </w:r>
      <w:r w:rsidR="00207CBB" w:rsidRPr="00D055A7">
        <w:rPr>
          <w:rFonts w:ascii="Times New Roman" w:hAnsi="Times New Roman" w:cs="Times New Roman"/>
          <w:color w:val="auto"/>
        </w:rPr>
        <w:t>bem-educadas</w:t>
      </w:r>
      <w:r w:rsidRPr="00D055A7">
        <w:rPr>
          <w:rFonts w:ascii="Times New Roman" w:hAnsi="Times New Roman" w:cs="Times New Roman"/>
          <w:color w:val="auto"/>
        </w:rPr>
        <w:t xml:space="preserve"> e saudáveis têm maior probabilidade de se tornarem adultos produtivos, contribuindo para a economia e reduzindo a dependência de assistência social (Becker, 1962).</w:t>
      </w:r>
    </w:p>
    <w:p w14:paraId="1CCEEDF7" w14:textId="77777777" w:rsidR="00D055A7" w:rsidRDefault="00D055A7" w:rsidP="00D055A7">
      <w:pPr>
        <w:spacing w:after="0" w:line="360" w:lineRule="auto"/>
        <w:jc w:val="both"/>
        <w:rPr>
          <w:rFonts w:ascii="Times New Roman" w:hAnsi="Times New Roman" w:cs="Times New Roman"/>
          <w:color w:val="auto"/>
        </w:rPr>
      </w:pPr>
    </w:p>
    <w:p w14:paraId="76E345FF" w14:textId="35B91C31" w:rsidR="00D055A7" w:rsidRPr="00D055A7" w:rsidRDefault="00D055A7" w:rsidP="00D055A7">
      <w:pPr>
        <w:pStyle w:val="ListParagraph"/>
        <w:numPr>
          <w:ilvl w:val="1"/>
          <w:numId w:val="14"/>
        </w:numPr>
        <w:spacing w:after="0" w:line="360" w:lineRule="auto"/>
        <w:jc w:val="both"/>
        <w:rPr>
          <w:rFonts w:ascii="Times New Roman" w:hAnsi="Times New Roman" w:cs="Times New Roman"/>
          <w:b/>
          <w:color w:val="auto"/>
        </w:rPr>
      </w:pPr>
      <w:r w:rsidRPr="00D055A7">
        <w:rPr>
          <w:rFonts w:ascii="Times New Roman" w:hAnsi="Times New Roman" w:cs="Times New Roman"/>
          <w:b/>
          <w:color w:val="auto"/>
        </w:rPr>
        <w:t xml:space="preserve">Benefícios do dividendo demográfico </w:t>
      </w:r>
    </w:p>
    <w:p w14:paraId="100F36E2" w14:textId="644BE199" w:rsidR="00070213" w:rsidRPr="00581281" w:rsidRDefault="00BA3D83" w:rsidP="00581281">
      <w:pPr>
        <w:spacing w:line="360" w:lineRule="auto"/>
        <w:jc w:val="both"/>
        <w:rPr>
          <w:rFonts w:ascii="Times New Roman" w:hAnsi="Times New Roman" w:cs="Times New Roman"/>
          <w:color w:val="auto"/>
        </w:rPr>
      </w:pPr>
      <w:r w:rsidRPr="00581281">
        <w:rPr>
          <w:rFonts w:ascii="Times New Roman" w:hAnsi="Times New Roman" w:cs="Times New Roman"/>
          <w:color w:val="auto"/>
        </w:rPr>
        <w:t xml:space="preserve">O dividendo demográfico refere-se ao potencial de crescimento </w:t>
      </w:r>
      <w:r w:rsidR="00AC2A6F" w:rsidRPr="00581281">
        <w:rPr>
          <w:rFonts w:ascii="Times New Roman" w:hAnsi="Times New Roman" w:cs="Times New Roman"/>
          <w:color w:val="auto"/>
        </w:rPr>
        <w:t>económico</w:t>
      </w:r>
      <w:r w:rsidRPr="00581281">
        <w:rPr>
          <w:rFonts w:ascii="Times New Roman" w:hAnsi="Times New Roman" w:cs="Times New Roman"/>
          <w:color w:val="auto"/>
        </w:rPr>
        <w:t xml:space="preserve"> que pode resultar de mudanças na estrutura etária da população. Quando a proporção de pessoas em idade a</w:t>
      </w:r>
      <w:r w:rsidR="00AC2A6F" w:rsidRPr="00581281">
        <w:rPr>
          <w:rFonts w:ascii="Times New Roman" w:hAnsi="Times New Roman" w:cs="Times New Roman"/>
          <w:color w:val="auto"/>
        </w:rPr>
        <w:t>c</w:t>
      </w:r>
      <w:r w:rsidRPr="00581281">
        <w:rPr>
          <w:rFonts w:ascii="Times New Roman" w:hAnsi="Times New Roman" w:cs="Times New Roman"/>
          <w:color w:val="auto"/>
        </w:rPr>
        <w:t xml:space="preserve">tiva é maior do que a de dependentes, há uma oportunidade de crescimento </w:t>
      </w:r>
      <w:r w:rsidR="00AC2A6F" w:rsidRPr="00581281">
        <w:rPr>
          <w:rFonts w:ascii="Times New Roman" w:hAnsi="Times New Roman" w:cs="Times New Roman"/>
          <w:color w:val="auto"/>
        </w:rPr>
        <w:t>económico</w:t>
      </w:r>
      <w:r w:rsidRPr="00581281">
        <w:rPr>
          <w:rFonts w:ascii="Times New Roman" w:hAnsi="Times New Roman" w:cs="Times New Roman"/>
          <w:color w:val="auto"/>
        </w:rPr>
        <w:t>. Para que Moçambique aproveite esse potencial, é crucial investir em educação, saúde e desenvolvimento de competências, além de abordar questões como casamentos prematuros e gravidezes precoces (Canning et al., 2015).</w:t>
      </w:r>
    </w:p>
    <w:p w14:paraId="773BB64E" w14:textId="77777777" w:rsidR="00D055A7" w:rsidRDefault="00D055A7" w:rsidP="00D055A7">
      <w:pPr>
        <w:pStyle w:val="ListParagraph"/>
        <w:numPr>
          <w:ilvl w:val="1"/>
          <w:numId w:val="14"/>
        </w:numPr>
        <w:spacing w:after="0"/>
        <w:rPr>
          <w:rFonts w:ascii="Times New Roman" w:hAnsi="Times New Roman" w:cs="Times New Roman"/>
          <w:b/>
        </w:rPr>
      </w:pPr>
      <w:r w:rsidRPr="00D055A7">
        <w:rPr>
          <w:rFonts w:ascii="Times New Roman" w:hAnsi="Times New Roman" w:cs="Times New Roman"/>
          <w:b/>
        </w:rPr>
        <w:t>Alinhamento com os ODS</w:t>
      </w:r>
    </w:p>
    <w:p w14:paraId="05B04408" w14:textId="48CDCD7D" w:rsidR="0003068E" w:rsidRDefault="00BA3D83" w:rsidP="00D055A7">
      <w:pPr>
        <w:spacing w:after="0" w:line="360" w:lineRule="auto"/>
        <w:jc w:val="both"/>
        <w:rPr>
          <w:rFonts w:ascii="Times New Roman" w:hAnsi="Times New Roman" w:cs="Times New Roman"/>
          <w:color w:val="auto"/>
        </w:rPr>
      </w:pPr>
      <w:r w:rsidRPr="00D055A7">
        <w:rPr>
          <w:rFonts w:ascii="Times New Roman" w:hAnsi="Times New Roman" w:cs="Times New Roman"/>
          <w:color w:val="auto"/>
        </w:rPr>
        <w:t xml:space="preserve">O investimento na infância está </w:t>
      </w:r>
      <w:r w:rsidR="00AC2A6F" w:rsidRPr="00D055A7">
        <w:rPr>
          <w:rFonts w:ascii="Times New Roman" w:hAnsi="Times New Roman" w:cs="Times New Roman"/>
          <w:color w:val="auto"/>
        </w:rPr>
        <w:t>directamente</w:t>
      </w:r>
      <w:r w:rsidRPr="00D055A7">
        <w:rPr>
          <w:rFonts w:ascii="Times New Roman" w:hAnsi="Times New Roman" w:cs="Times New Roman"/>
          <w:color w:val="auto"/>
        </w:rPr>
        <w:t xml:space="preserve"> relacionado ao alcance dos Objetivos de Desenvolvimento Sustentável (ODS). Os ODS 1 (Erradicação da Pobreza), 2 (Erradicação da Fome), 3 (Saúde de Qualidade), 4 (Educação de Qualidade), 8 (Trabalho Digno e Crescimento </w:t>
      </w:r>
      <w:r w:rsidR="00AC2A6F" w:rsidRPr="00D055A7">
        <w:rPr>
          <w:rFonts w:ascii="Times New Roman" w:hAnsi="Times New Roman" w:cs="Times New Roman"/>
          <w:color w:val="auto"/>
        </w:rPr>
        <w:t>Económico</w:t>
      </w:r>
      <w:r w:rsidRPr="00D055A7">
        <w:rPr>
          <w:rFonts w:ascii="Times New Roman" w:hAnsi="Times New Roman" w:cs="Times New Roman"/>
          <w:color w:val="auto"/>
        </w:rPr>
        <w:t xml:space="preserve">), 9 (Indústria, Inovação e </w:t>
      </w:r>
      <w:r w:rsidR="00AC2A6F" w:rsidRPr="00D055A7">
        <w:rPr>
          <w:rFonts w:ascii="Times New Roman" w:hAnsi="Times New Roman" w:cs="Times New Roman"/>
          <w:color w:val="auto"/>
        </w:rPr>
        <w:t>Infraestruturas</w:t>
      </w:r>
      <w:r w:rsidRPr="00D055A7">
        <w:rPr>
          <w:rFonts w:ascii="Times New Roman" w:hAnsi="Times New Roman" w:cs="Times New Roman"/>
          <w:color w:val="auto"/>
        </w:rPr>
        <w:t xml:space="preserve">), 10 (Redução de Desigualdades) e 16 (Paz, Justiça e Instituições Eficazes) são todos impactados positivamente por investimentos </w:t>
      </w:r>
      <w:r w:rsidR="00AC2A6F" w:rsidRPr="00D055A7">
        <w:rPr>
          <w:rFonts w:ascii="Times New Roman" w:hAnsi="Times New Roman" w:cs="Times New Roman"/>
          <w:color w:val="auto"/>
        </w:rPr>
        <w:t>direccionados</w:t>
      </w:r>
      <w:r w:rsidRPr="00D055A7">
        <w:rPr>
          <w:rFonts w:ascii="Times New Roman" w:hAnsi="Times New Roman" w:cs="Times New Roman"/>
          <w:color w:val="auto"/>
        </w:rPr>
        <w:t xml:space="preserve"> na infância. Esses </w:t>
      </w:r>
      <w:r w:rsidR="00AC2A6F" w:rsidRPr="00D055A7">
        <w:rPr>
          <w:rFonts w:ascii="Times New Roman" w:hAnsi="Times New Roman" w:cs="Times New Roman"/>
          <w:color w:val="auto"/>
        </w:rPr>
        <w:t>objectivos</w:t>
      </w:r>
      <w:r w:rsidRPr="00D055A7">
        <w:rPr>
          <w:rFonts w:ascii="Times New Roman" w:hAnsi="Times New Roman" w:cs="Times New Roman"/>
          <w:color w:val="auto"/>
        </w:rPr>
        <w:t xml:space="preserve"> não são apenas metas globais, mas também fundamentais para o desenvolvimento sustentável e a estabilidade social em Moçambique (United Nations, 2015).</w:t>
      </w:r>
    </w:p>
    <w:p w14:paraId="12436476" w14:textId="77777777" w:rsidR="00D055A7" w:rsidRPr="00D055A7" w:rsidRDefault="00D055A7" w:rsidP="00D055A7">
      <w:pPr>
        <w:spacing w:after="0" w:line="360" w:lineRule="auto"/>
        <w:jc w:val="both"/>
        <w:rPr>
          <w:rFonts w:ascii="Times New Roman" w:hAnsi="Times New Roman" w:cs="Times New Roman"/>
          <w:b/>
        </w:rPr>
      </w:pPr>
    </w:p>
    <w:p w14:paraId="3DF57C12" w14:textId="0AB6C805" w:rsidR="00D055A7" w:rsidRPr="00D055A7" w:rsidRDefault="00BA3D83" w:rsidP="00D055A7">
      <w:pPr>
        <w:pStyle w:val="Heading1"/>
        <w:numPr>
          <w:ilvl w:val="0"/>
          <w:numId w:val="14"/>
        </w:numPr>
        <w:spacing w:after="0" w:line="360" w:lineRule="auto"/>
        <w:rPr>
          <w:rFonts w:ascii="Times New Roman" w:hAnsi="Times New Roman" w:cs="Times New Roman"/>
          <w:b/>
          <w:color w:val="auto"/>
          <w:sz w:val="24"/>
          <w:szCs w:val="24"/>
        </w:rPr>
      </w:pPr>
      <w:bookmarkStart w:id="6" w:name="_Toc177992739"/>
      <w:r w:rsidRPr="00D055A7">
        <w:rPr>
          <w:rFonts w:ascii="Times New Roman" w:hAnsi="Times New Roman" w:cs="Times New Roman"/>
          <w:b/>
          <w:color w:val="auto"/>
          <w:sz w:val="24"/>
          <w:szCs w:val="24"/>
        </w:rPr>
        <w:lastRenderedPageBreak/>
        <w:t>Panorama da Saúde e Educação Infantil em Moçambique</w:t>
      </w:r>
      <w:bookmarkEnd w:id="6"/>
    </w:p>
    <w:p w14:paraId="2E54DAFE" w14:textId="77777777" w:rsidR="00D055A7" w:rsidRDefault="00D055A7" w:rsidP="00D055A7">
      <w:pPr>
        <w:pStyle w:val="ListParagraph"/>
        <w:numPr>
          <w:ilvl w:val="1"/>
          <w:numId w:val="16"/>
        </w:numPr>
        <w:spacing w:after="0" w:line="360" w:lineRule="auto"/>
        <w:jc w:val="both"/>
        <w:rPr>
          <w:rFonts w:ascii="Times New Roman" w:hAnsi="Times New Roman" w:cs="Times New Roman"/>
          <w:b/>
          <w:color w:val="auto"/>
        </w:rPr>
      </w:pPr>
      <w:r w:rsidRPr="00D055A7">
        <w:rPr>
          <w:rFonts w:ascii="Times New Roman" w:hAnsi="Times New Roman" w:cs="Times New Roman"/>
          <w:b/>
          <w:color w:val="auto"/>
        </w:rPr>
        <w:t xml:space="preserve">Avanços e desafios na saúde infantil </w:t>
      </w:r>
    </w:p>
    <w:p w14:paraId="3F2CB6ED" w14:textId="08620005" w:rsidR="00070213" w:rsidRDefault="00BA3D83" w:rsidP="00D055A7">
      <w:pPr>
        <w:spacing w:after="0" w:line="360" w:lineRule="auto"/>
        <w:jc w:val="both"/>
        <w:rPr>
          <w:rFonts w:ascii="Times New Roman" w:hAnsi="Times New Roman" w:cs="Times New Roman"/>
          <w:color w:val="auto"/>
        </w:rPr>
      </w:pPr>
      <w:r w:rsidRPr="00D055A7">
        <w:rPr>
          <w:rFonts w:ascii="Times New Roman" w:hAnsi="Times New Roman" w:cs="Times New Roman"/>
          <w:color w:val="auto"/>
        </w:rPr>
        <w:t>Nos últimos anos, a saúde infantil em Moçambique tem apresentado avanços significativos, conforme detalhado pelo "Relatório sobre a Situação das Crianças em Moçambique 2021" da UNICEF (2022). Entre 2011 e 2017, houve uma redução na taxa de mortalidade infantil de 64 para 55 por 1.000 nascidos vivos. No entanto, essa taxa ainda é elevada, especialmente entre meninos e em áreas menos favorecidas. Apesar dessa melhoria, a prevalência de diarreia, malária e tuberculose permanece alta. A malária continua a ser a principal causa de mortalidade infantil, representando cerca de um terço das mortes em crianças menores de cinco anos, seguida pelas mortes neonatais, que correspondem a aproximadamente 16% das mortes nessa faixa etária.</w:t>
      </w:r>
    </w:p>
    <w:p w14:paraId="0D9C7AFD" w14:textId="77777777" w:rsidR="00D055A7" w:rsidRPr="00D055A7" w:rsidRDefault="00D055A7" w:rsidP="00D055A7">
      <w:pPr>
        <w:spacing w:after="0" w:line="360" w:lineRule="auto"/>
        <w:jc w:val="both"/>
        <w:rPr>
          <w:rFonts w:ascii="Times New Roman" w:hAnsi="Times New Roman" w:cs="Times New Roman"/>
          <w:b/>
          <w:color w:val="auto"/>
        </w:rPr>
      </w:pPr>
    </w:p>
    <w:p w14:paraId="31726F46" w14:textId="5317146C" w:rsidR="00070213" w:rsidRDefault="00BA3D83" w:rsidP="00581281">
      <w:pPr>
        <w:spacing w:line="360" w:lineRule="auto"/>
        <w:jc w:val="both"/>
        <w:rPr>
          <w:rFonts w:ascii="Times New Roman" w:hAnsi="Times New Roman" w:cs="Times New Roman"/>
          <w:color w:val="auto"/>
        </w:rPr>
      </w:pPr>
      <w:r w:rsidRPr="00581281">
        <w:rPr>
          <w:rFonts w:ascii="Times New Roman" w:hAnsi="Times New Roman" w:cs="Times New Roman"/>
          <w:color w:val="auto"/>
        </w:rPr>
        <w:t>O Ministério da Saúde (MISAU) tem implementado várias iniciativas para melhorar a saúde infantil, incluindo campanhas de vacinação, distribuição de suplementos vitamínicos e medidas de prevenção contra doenças como malária e tuberculose</w:t>
      </w:r>
      <w:r w:rsidRPr="00581281">
        <w:rPr>
          <w:rFonts w:ascii="Times New Roman" w:hAnsi="Times New Roman" w:cs="Times New Roman"/>
          <w:color w:val="auto"/>
          <w:vertAlign w:val="superscript"/>
        </w:rPr>
        <w:footnoteReference w:id="9"/>
      </w:r>
      <w:r w:rsidRPr="00581281">
        <w:rPr>
          <w:rFonts w:ascii="Times New Roman" w:hAnsi="Times New Roman" w:cs="Times New Roman"/>
          <w:color w:val="auto"/>
        </w:rPr>
        <w:t xml:space="preserve">. No entanto, a falta de </w:t>
      </w:r>
      <w:r w:rsidR="00207CBB" w:rsidRPr="00581281">
        <w:rPr>
          <w:rFonts w:ascii="Times New Roman" w:hAnsi="Times New Roman" w:cs="Times New Roman"/>
          <w:color w:val="auto"/>
        </w:rPr>
        <w:t>infraestruturas</w:t>
      </w:r>
      <w:r w:rsidRPr="00581281">
        <w:rPr>
          <w:rFonts w:ascii="Times New Roman" w:hAnsi="Times New Roman" w:cs="Times New Roman"/>
          <w:color w:val="auto"/>
        </w:rPr>
        <w:t xml:space="preserve"> adequada</w:t>
      </w:r>
      <w:r w:rsidR="00617FCD" w:rsidRPr="00581281">
        <w:rPr>
          <w:rFonts w:ascii="Times New Roman" w:hAnsi="Times New Roman" w:cs="Times New Roman"/>
          <w:color w:val="auto"/>
        </w:rPr>
        <w:t>s</w:t>
      </w:r>
      <w:r w:rsidRPr="00581281">
        <w:rPr>
          <w:rFonts w:ascii="Times New Roman" w:hAnsi="Times New Roman" w:cs="Times New Roman"/>
          <w:color w:val="auto"/>
        </w:rPr>
        <w:t xml:space="preserve"> e o baixo nível de conhecimento sobre cuidados básicos de saúde entre os pais são obstáculos adicionais à sobrevivência infantil. A cobertura de vacinação alcançou 72%</w:t>
      </w:r>
      <w:r w:rsidRPr="00581281">
        <w:rPr>
          <w:rFonts w:ascii="Times New Roman" w:hAnsi="Times New Roman" w:cs="Times New Roman"/>
          <w:color w:val="auto"/>
          <w:vertAlign w:val="superscript"/>
        </w:rPr>
        <w:footnoteReference w:id="10"/>
      </w:r>
      <w:r w:rsidRPr="00581281">
        <w:rPr>
          <w:rFonts w:ascii="Times New Roman" w:hAnsi="Times New Roman" w:cs="Times New Roman"/>
          <w:color w:val="auto"/>
        </w:rPr>
        <w:t>, mas ainda há desafios significativos a serem enfrentados para melhorar a saúde das crianças.</w:t>
      </w:r>
    </w:p>
    <w:p w14:paraId="06C0B2EB" w14:textId="77777777" w:rsidR="00F84EE2" w:rsidRPr="00F84EE2" w:rsidRDefault="00D055A7" w:rsidP="00F84EE2">
      <w:pPr>
        <w:pStyle w:val="ListParagraph"/>
        <w:numPr>
          <w:ilvl w:val="1"/>
          <w:numId w:val="16"/>
        </w:numPr>
        <w:spacing w:after="0" w:line="360" w:lineRule="auto"/>
        <w:jc w:val="both"/>
        <w:rPr>
          <w:rFonts w:ascii="Times New Roman" w:hAnsi="Times New Roman" w:cs="Times New Roman"/>
          <w:b/>
          <w:color w:val="auto"/>
        </w:rPr>
      </w:pPr>
      <w:r w:rsidRPr="00F84EE2">
        <w:rPr>
          <w:rFonts w:ascii="Times New Roman" w:hAnsi="Times New Roman" w:cs="Times New Roman"/>
          <w:b/>
          <w:color w:val="auto"/>
        </w:rPr>
        <w:t xml:space="preserve">Educação </w:t>
      </w:r>
      <w:r w:rsidR="00F84EE2" w:rsidRPr="00F84EE2">
        <w:rPr>
          <w:rFonts w:ascii="Times New Roman" w:hAnsi="Times New Roman" w:cs="Times New Roman"/>
          <w:b/>
          <w:color w:val="auto"/>
        </w:rPr>
        <w:t>p</w:t>
      </w:r>
      <w:r w:rsidRPr="00F84EE2">
        <w:rPr>
          <w:rFonts w:ascii="Times New Roman" w:hAnsi="Times New Roman" w:cs="Times New Roman"/>
          <w:b/>
          <w:color w:val="auto"/>
        </w:rPr>
        <w:t xml:space="preserve">ré-escolar </w:t>
      </w:r>
    </w:p>
    <w:p w14:paraId="09CC24CB" w14:textId="299C948C" w:rsidR="00070213" w:rsidRPr="00F84EE2" w:rsidRDefault="00BA3D83" w:rsidP="00F84EE2">
      <w:pPr>
        <w:spacing w:line="360" w:lineRule="auto"/>
        <w:jc w:val="both"/>
        <w:rPr>
          <w:rFonts w:ascii="Times New Roman" w:hAnsi="Times New Roman" w:cs="Times New Roman"/>
          <w:color w:val="auto"/>
        </w:rPr>
      </w:pPr>
      <w:r w:rsidRPr="00F84EE2">
        <w:rPr>
          <w:rFonts w:ascii="Times New Roman" w:hAnsi="Times New Roman" w:cs="Times New Roman"/>
          <w:color w:val="auto"/>
        </w:rPr>
        <w:t>No sector da Educação Pré-escolar (EPE), os dados do Ministério da Educação e Desenvolvimento Humano mostram que apenas 3,5% das crianças entre 3 e 5 anos têm acesso a programas de EPE, abrangendo um total de 101.259 crianças das aproximadamente 2,9 milhões nessa faixa etária. A maioria das crianças com acesso à EPE está em escolas privadas ou comunitárias, com apenas 1.552 crianças frequentando instituições públicas de EPE</w:t>
      </w:r>
      <w:r w:rsidRPr="00581281">
        <w:rPr>
          <w:vertAlign w:val="superscript"/>
        </w:rPr>
        <w:footnoteReference w:id="11"/>
      </w:r>
      <w:r w:rsidRPr="00F84EE2">
        <w:rPr>
          <w:rFonts w:ascii="Times New Roman" w:hAnsi="Times New Roman" w:cs="Times New Roman"/>
          <w:color w:val="auto"/>
        </w:rPr>
        <w:t>. Esta cobertura reduzida reflecte um desafio significativo para alcançar a segunda meta do ODS 4, que visa garantir acesso universal a uma educação de qualidade na primeira infância até 2030.</w:t>
      </w:r>
    </w:p>
    <w:p w14:paraId="77AC3504" w14:textId="65657519" w:rsidR="00070213" w:rsidRPr="00F84EE2" w:rsidRDefault="00BA3D83" w:rsidP="00581281">
      <w:pPr>
        <w:spacing w:line="360" w:lineRule="auto"/>
        <w:jc w:val="both"/>
        <w:rPr>
          <w:rFonts w:ascii="Times New Roman" w:hAnsi="Times New Roman" w:cs="Times New Roman"/>
        </w:rPr>
      </w:pPr>
      <w:r w:rsidRPr="00581281">
        <w:rPr>
          <w:rFonts w:ascii="Times New Roman" w:hAnsi="Times New Roman" w:cs="Times New Roman"/>
          <w:color w:val="auto"/>
        </w:rPr>
        <w:lastRenderedPageBreak/>
        <w:t xml:space="preserve">O país possui um </w:t>
      </w:r>
      <w:r w:rsidR="00F84EE2" w:rsidRPr="00581281">
        <w:rPr>
          <w:rFonts w:ascii="Times New Roman" w:hAnsi="Times New Roman" w:cs="Times New Roman"/>
          <w:color w:val="auto"/>
        </w:rPr>
        <w:t>deficit</w:t>
      </w:r>
      <w:r w:rsidRPr="00581281">
        <w:rPr>
          <w:rFonts w:ascii="Times New Roman" w:hAnsi="Times New Roman" w:cs="Times New Roman"/>
          <w:color w:val="auto"/>
        </w:rPr>
        <w:t xml:space="preserve"> de infraestruturas, com apenas 12 centros infantis públicos e uma predominância de instituições privadas e comunitárias. A falta de consciência pública sobre a importância da EPE é uma barreira significativa, com muitas famílias não aproveitando os programas disponíveis e sem pressionar o governo para melhorias. O governo reconhece que a falta de frequência na EPE é um dos principais factores para o insucesso do sistema. Há uma necessidade urgente de campanhas de sensibilização e capacitação de líderes comunitários para aumentar a conscientização sobre os benefícios da educação pré-escolar. A avaliação do projecto DICIPE em 2019 destacou a falta de entendimento por parte do governo sobre os benefícios da EPE, evidenciando a necessidade de alocação adequada de orçamento para o desenvolvimento do subsistema</w:t>
      </w:r>
      <w:r w:rsidR="00617FCD" w:rsidRPr="00581281">
        <w:rPr>
          <w:rFonts w:ascii="Times New Roman" w:hAnsi="Times New Roman" w:cs="Times New Roman"/>
        </w:rPr>
        <w:t xml:space="preserve"> resumidamente como estamos ate ao periodo em termos</w:t>
      </w:r>
      <w:r w:rsidR="00F84EE2">
        <w:rPr>
          <w:rFonts w:ascii="Times New Roman" w:hAnsi="Times New Roman" w:cs="Times New Roman"/>
        </w:rPr>
        <w:t xml:space="preserve"> de alocacao para o subsistema?</w:t>
      </w:r>
    </w:p>
    <w:p w14:paraId="247AE047" w14:textId="77777777" w:rsidR="00070213" w:rsidRPr="00581281" w:rsidRDefault="00BA3D83" w:rsidP="00581281">
      <w:pPr>
        <w:spacing w:after="0" w:line="360" w:lineRule="auto"/>
        <w:jc w:val="both"/>
        <w:rPr>
          <w:rFonts w:ascii="Times New Roman" w:hAnsi="Times New Roman" w:cs="Times New Roman"/>
          <w:color w:val="auto"/>
        </w:rPr>
      </w:pPr>
      <w:r w:rsidRPr="00581281">
        <w:rPr>
          <w:rFonts w:ascii="Times New Roman" w:hAnsi="Times New Roman" w:cs="Times New Roman"/>
          <w:color w:val="auto"/>
        </w:rPr>
        <w:t>Para enfrentar esses desafios, o governo tem implementado várias políticas e instrumentos, incluindo:</w:t>
      </w:r>
    </w:p>
    <w:p w14:paraId="18FAC728" w14:textId="77777777" w:rsidR="00070213" w:rsidRPr="00581281" w:rsidRDefault="00BA3D83" w:rsidP="00581281">
      <w:pPr>
        <w:numPr>
          <w:ilvl w:val="0"/>
          <w:numId w:val="5"/>
        </w:numPr>
        <w:spacing w:before="280" w:after="0" w:line="360" w:lineRule="auto"/>
        <w:jc w:val="both"/>
        <w:rPr>
          <w:rFonts w:ascii="Times New Roman" w:hAnsi="Times New Roman" w:cs="Times New Roman"/>
          <w:color w:val="auto"/>
        </w:rPr>
      </w:pPr>
      <w:r w:rsidRPr="00581281">
        <w:rPr>
          <w:rFonts w:ascii="Times New Roman" w:hAnsi="Times New Roman" w:cs="Times New Roman"/>
          <w:color w:val="auto"/>
        </w:rPr>
        <w:t>Resolução 8/98 de 9 de Junho: Política Nacional da Acção Social.</w:t>
      </w:r>
    </w:p>
    <w:p w14:paraId="67B70852" w14:textId="77777777" w:rsidR="00070213" w:rsidRPr="00581281" w:rsidRDefault="00BA3D83" w:rsidP="00581281">
      <w:pPr>
        <w:numPr>
          <w:ilvl w:val="0"/>
          <w:numId w:val="5"/>
        </w:numPr>
        <w:spacing w:after="0" w:line="360" w:lineRule="auto"/>
        <w:jc w:val="both"/>
        <w:rPr>
          <w:rFonts w:ascii="Times New Roman" w:hAnsi="Times New Roman" w:cs="Times New Roman"/>
          <w:color w:val="auto"/>
        </w:rPr>
      </w:pPr>
      <w:r w:rsidRPr="00581281">
        <w:rPr>
          <w:rFonts w:ascii="Times New Roman" w:hAnsi="Times New Roman" w:cs="Times New Roman"/>
          <w:color w:val="auto"/>
        </w:rPr>
        <w:t>Diploma Ministerial 277/2010 de 31 de Dezembro: Regulamento dos Centros Infantis.</w:t>
      </w:r>
    </w:p>
    <w:p w14:paraId="73C713DE" w14:textId="77777777" w:rsidR="00070213" w:rsidRPr="00581281" w:rsidRDefault="00BA3D83" w:rsidP="00581281">
      <w:pPr>
        <w:numPr>
          <w:ilvl w:val="0"/>
          <w:numId w:val="5"/>
        </w:numPr>
        <w:spacing w:after="0" w:line="360" w:lineRule="auto"/>
        <w:jc w:val="both"/>
        <w:rPr>
          <w:rFonts w:ascii="Times New Roman" w:hAnsi="Times New Roman" w:cs="Times New Roman"/>
          <w:color w:val="auto"/>
        </w:rPr>
      </w:pPr>
      <w:r w:rsidRPr="00581281">
        <w:rPr>
          <w:rFonts w:ascii="Times New Roman" w:hAnsi="Times New Roman" w:cs="Times New Roman"/>
          <w:color w:val="auto"/>
        </w:rPr>
        <w:t>Estratégia do Desenvolvimento Integral da Criança em Idade Pré-escolar (DICIPE) 2012-2021.</w:t>
      </w:r>
    </w:p>
    <w:p w14:paraId="375222EF" w14:textId="77777777" w:rsidR="00070213" w:rsidRDefault="00BA3D83" w:rsidP="00581281">
      <w:pPr>
        <w:numPr>
          <w:ilvl w:val="0"/>
          <w:numId w:val="5"/>
        </w:numPr>
        <w:spacing w:line="360" w:lineRule="auto"/>
        <w:jc w:val="both"/>
        <w:rPr>
          <w:rFonts w:ascii="Times New Roman" w:hAnsi="Times New Roman" w:cs="Times New Roman"/>
          <w:color w:val="auto"/>
        </w:rPr>
      </w:pPr>
      <w:r w:rsidRPr="00581281">
        <w:rPr>
          <w:rFonts w:ascii="Times New Roman" w:hAnsi="Times New Roman" w:cs="Times New Roman"/>
          <w:color w:val="auto"/>
        </w:rPr>
        <w:t>Programa Pedagógico para Crianças do 1º ao 5º ano e Manual das Actividades nas Escolinhas Comunitárias.</w:t>
      </w:r>
    </w:p>
    <w:p w14:paraId="3B0F0956" w14:textId="26005A95" w:rsidR="00F84EE2" w:rsidRPr="00F84EE2" w:rsidRDefault="00F84EE2" w:rsidP="00F84EE2">
      <w:pPr>
        <w:pStyle w:val="ListParagraph"/>
        <w:numPr>
          <w:ilvl w:val="1"/>
          <w:numId w:val="16"/>
        </w:numPr>
        <w:spacing w:after="0" w:line="360" w:lineRule="auto"/>
        <w:jc w:val="both"/>
        <w:rPr>
          <w:rFonts w:ascii="Times New Roman" w:hAnsi="Times New Roman" w:cs="Times New Roman"/>
          <w:b/>
          <w:color w:val="auto"/>
        </w:rPr>
      </w:pPr>
      <w:r w:rsidRPr="00F84EE2">
        <w:rPr>
          <w:rFonts w:ascii="Times New Roman" w:hAnsi="Times New Roman" w:cs="Times New Roman"/>
          <w:b/>
          <w:color w:val="auto"/>
        </w:rPr>
        <w:t>Legislação de direitos</w:t>
      </w:r>
    </w:p>
    <w:p w14:paraId="26A3B40D" w14:textId="53937117" w:rsidR="00070213" w:rsidRDefault="00BA3D83" w:rsidP="00F84EE2">
      <w:pPr>
        <w:spacing w:after="0" w:line="360" w:lineRule="auto"/>
        <w:jc w:val="both"/>
        <w:rPr>
          <w:rFonts w:ascii="Times New Roman" w:hAnsi="Times New Roman" w:cs="Times New Roman"/>
          <w:color w:val="auto"/>
        </w:rPr>
      </w:pPr>
      <w:r w:rsidRPr="00581281">
        <w:rPr>
          <w:rFonts w:ascii="Times New Roman" w:hAnsi="Times New Roman" w:cs="Times New Roman"/>
          <w:color w:val="auto"/>
        </w:rPr>
        <w:t>A Constituição de Moçambique e outras legislações garantem acesso gratuito a cuidados médicos e cirúrgicos para crianças menores de cinco anos. No entanto, a implementação prática e a acessibilidade desses serviços enfrentam desafios, como a falta de infra-estrutura e recursos</w:t>
      </w:r>
      <w:r w:rsidR="00617FCD" w:rsidRPr="00581281">
        <w:rPr>
          <w:rFonts w:ascii="Times New Roman" w:hAnsi="Times New Roman" w:cs="Times New Roman"/>
          <w:color w:val="auto"/>
        </w:rPr>
        <w:t xml:space="preserve"> materiais e humanos</w:t>
      </w:r>
      <w:r w:rsidRPr="00581281">
        <w:rPr>
          <w:rFonts w:ascii="Times New Roman" w:hAnsi="Times New Roman" w:cs="Times New Roman"/>
          <w:color w:val="auto"/>
        </w:rPr>
        <w:t xml:space="preserve">. A análise da eficácia dessas políticas e sua aplicação prática </w:t>
      </w:r>
      <w:r w:rsidR="611AECEF" w:rsidRPr="00581281">
        <w:rPr>
          <w:rFonts w:ascii="Times New Roman" w:hAnsi="Times New Roman" w:cs="Times New Roman"/>
          <w:color w:val="auto"/>
        </w:rPr>
        <w:t xml:space="preserve">incluindo o impacto para esta faixa etaria </w:t>
      </w:r>
      <w:r w:rsidRPr="00581281">
        <w:rPr>
          <w:rFonts w:ascii="Times New Roman" w:hAnsi="Times New Roman" w:cs="Times New Roman"/>
          <w:color w:val="auto"/>
        </w:rPr>
        <w:t>são essenciais para garantir que todos os direitos sejam efectivamente cumpridos.</w:t>
      </w:r>
    </w:p>
    <w:p w14:paraId="74B12171" w14:textId="77777777" w:rsidR="00F84EE2" w:rsidRPr="00581281" w:rsidRDefault="00F84EE2" w:rsidP="00F84EE2">
      <w:pPr>
        <w:spacing w:after="0" w:line="360" w:lineRule="auto"/>
        <w:jc w:val="both"/>
        <w:rPr>
          <w:rFonts w:ascii="Times New Roman" w:hAnsi="Times New Roman" w:cs="Times New Roman"/>
          <w:color w:val="auto"/>
        </w:rPr>
      </w:pPr>
    </w:p>
    <w:p w14:paraId="789F35BF" w14:textId="77777777" w:rsidR="00F84EE2" w:rsidRPr="00F84EE2" w:rsidRDefault="00F84EE2" w:rsidP="00F84EE2">
      <w:pPr>
        <w:pStyle w:val="ListParagraph"/>
        <w:numPr>
          <w:ilvl w:val="1"/>
          <w:numId w:val="16"/>
        </w:numPr>
        <w:spacing w:after="0" w:line="360" w:lineRule="auto"/>
        <w:jc w:val="both"/>
        <w:rPr>
          <w:rFonts w:ascii="Times New Roman" w:hAnsi="Times New Roman" w:cs="Times New Roman"/>
          <w:b/>
          <w:color w:val="auto"/>
        </w:rPr>
      </w:pPr>
      <w:r w:rsidRPr="00F84EE2">
        <w:rPr>
          <w:rFonts w:ascii="Times New Roman" w:hAnsi="Times New Roman" w:cs="Times New Roman"/>
          <w:b/>
          <w:color w:val="auto"/>
        </w:rPr>
        <w:t xml:space="preserve">Iniciativas de acção social </w:t>
      </w:r>
    </w:p>
    <w:p w14:paraId="58540CEB" w14:textId="78AA0D31" w:rsidR="00F84EE2" w:rsidRDefault="00F63367" w:rsidP="00F84EE2">
      <w:pPr>
        <w:spacing w:after="0" w:line="360" w:lineRule="auto"/>
        <w:jc w:val="both"/>
        <w:rPr>
          <w:rFonts w:ascii="Times New Roman" w:hAnsi="Times New Roman" w:cs="Times New Roman"/>
          <w:color w:val="auto"/>
        </w:rPr>
      </w:pPr>
      <w:r w:rsidRPr="00F84EE2">
        <w:rPr>
          <w:rFonts w:ascii="Times New Roman" w:hAnsi="Times New Roman" w:cs="Times New Roman"/>
          <w:color w:val="auto"/>
        </w:rPr>
        <w:lastRenderedPageBreak/>
        <w:t>O Programa de Subsídio para Crianças de 0 a 2 anos, implementado pelo Ministério do Género, Criança e Acção Social (MGCAS) com apoio de parceiros como UNICEF e UKAID, visa reduzir a desnutrição crónica e melhorar os hábitos nutricionais das famílias, contribuindo para um desenvolvimento saudável das crianças. A fase piloto do programa, realizada nos distritos de Nampula, Nacala, Malema e Mossuril na província de Nampula, alcançou a meta de 500 beneficiários e foi expandida para os distritos de Montepuez e Balama na província de Cabo Delgado, bem como para os distritos de Quelimane e Maganja da Costa na província de Zambézia. O programa tem mostrado um aumento de 30% na frequência e diversidade alimentar das famílias, medido através de inquéritos e avaliações nutricionais. Além disso, a assistência inclui transferências monetárias destinadas a menores chefes de agregado e famílias pobres que acolhem órfãos e vulneráveis, visando melhorar suas condições de vida e alimentação</w:t>
      </w:r>
      <w:r w:rsidRPr="00581281">
        <w:rPr>
          <w:vertAlign w:val="superscript"/>
        </w:rPr>
        <w:footnoteReference w:id="12"/>
      </w:r>
      <w:r w:rsidRPr="00F84EE2">
        <w:rPr>
          <w:rFonts w:ascii="Times New Roman" w:hAnsi="Times New Roman" w:cs="Times New Roman"/>
          <w:color w:val="auto"/>
        </w:rPr>
        <w:t>.</w:t>
      </w:r>
      <w:bookmarkStart w:id="7" w:name="_Toc177992744"/>
    </w:p>
    <w:p w14:paraId="08D57382" w14:textId="205FE73A" w:rsidR="00BF351A" w:rsidRPr="00F84EE2" w:rsidRDefault="00BF351A" w:rsidP="00F84EE2">
      <w:pPr>
        <w:pStyle w:val="Heading1"/>
        <w:numPr>
          <w:ilvl w:val="0"/>
          <w:numId w:val="16"/>
        </w:numPr>
        <w:spacing w:before="240" w:after="0" w:line="360" w:lineRule="auto"/>
        <w:rPr>
          <w:rFonts w:ascii="Times New Roman" w:hAnsi="Times New Roman" w:cs="Times New Roman"/>
          <w:b/>
          <w:color w:val="auto"/>
          <w:sz w:val="24"/>
          <w:szCs w:val="24"/>
        </w:rPr>
      </w:pPr>
      <w:r w:rsidRPr="00F84EE2">
        <w:rPr>
          <w:rFonts w:ascii="Times New Roman" w:hAnsi="Times New Roman" w:cs="Times New Roman"/>
          <w:b/>
          <w:color w:val="auto"/>
          <w:sz w:val="24"/>
          <w:szCs w:val="24"/>
        </w:rPr>
        <w:t>Nutrição na Primeira Infância em Moçambique</w:t>
      </w:r>
      <w:bookmarkEnd w:id="7"/>
    </w:p>
    <w:p w14:paraId="7FBCF28D" w14:textId="77777777" w:rsidR="00BF351A" w:rsidRDefault="00BF351A" w:rsidP="00F84EE2">
      <w:pPr>
        <w:spacing w:before="240" w:after="0" w:line="360" w:lineRule="auto"/>
        <w:jc w:val="both"/>
        <w:rPr>
          <w:rFonts w:ascii="Times New Roman" w:hAnsi="Times New Roman" w:cs="Times New Roman"/>
          <w:color w:val="auto"/>
        </w:rPr>
      </w:pPr>
      <w:r w:rsidRPr="00581281">
        <w:rPr>
          <w:rFonts w:ascii="Times New Roman" w:hAnsi="Times New Roman" w:cs="Times New Roman"/>
          <w:color w:val="auto"/>
        </w:rPr>
        <w:t>A nutrição adequada durante a primeira infância, entre 0 e 5 anos, é fundamental para o desenvolvimento físico e cognitivo das crianças, influenciando directamente o seu crescimento saudável e o seu potencial futuro (OMS, 2020). Em Moçambique, a desnutrição continua a ser um dos maiores desafios de saúde pública, afectando milhões de crianças e contribuindo para a mortalidade infantil e deficiências a longo prazo (UNICEF, 2019). Este capítulo aborda a situação da nutrição infantil em Moçambique, com ênfase na alocação orçamental destinada a este grupo populacional entre 2020 e 2024.</w:t>
      </w:r>
    </w:p>
    <w:p w14:paraId="0EB2117F" w14:textId="3493A510" w:rsidR="00BF351A" w:rsidRPr="00F84EE2" w:rsidRDefault="00F84EE2" w:rsidP="00F84EE2">
      <w:pPr>
        <w:pStyle w:val="ListParagraph"/>
        <w:numPr>
          <w:ilvl w:val="1"/>
          <w:numId w:val="16"/>
        </w:numPr>
        <w:spacing w:before="240" w:after="0" w:line="360" w:lineRule="auto"/>
        <w:jc w:val="both"/>
        <w:rPr>
          <w:rFonts w:ascii="Times New Roman" w:hAnsi="Times New Roman" w:cs="Times New Roman"/>
          <w:b/>
          <w:color w:val="auto"/>
        </w:rPr>
      </w:pPr>
      <w:r w:rsidRPr="00F84EE2">
        <w:rPr>
          <w:rFonts w:ascii="Times New Roman" w:hAnsi="Times New Roman" w:cs="Times New Roman"/>
          <w:b/>
          <w:color w:val="auto"/>
        </w:rPr>
        <w:t xml:space="preserve">Contexto geral da nutrição na primeira infância </w:t>
      </w:r>
    </w:p>
    <w:p w14:paraId="6055FBCB" w14:textId="77777777" w:rsidR="00BF351A" w:rsidRPr="00581281" w:rsidRDefault="00BF351A" w:rsidP="00581281">
      <w:pPr>
        <w:spacing w:after="160" w:line="360" w:lineRule="auto"/>
        <w:jc w:val="both"/>
        <w:rPr>
          <w:rFonts w:ascii="Times New Roman" w:hAnsi="Times New Roman" w:cs="Times New Roman"/>
          <w:color w:val="auto"/>
        </w:rPr>
      </w:pPr>
      <w:r w:rsidRPr="00581281">
        <w:rPr>
          <w:rFonts w:ascii="Times New Roman" w:hAnsi="Times New Roman" w:cs="Times New Roman"/>
          <w:color w:val="auto"/>
        </w:rPr>
        <w:t>A situação da nutrição infantil em Moçambique está directamente ligada à pobreza, insegurança alimentar, práticas inadequadas de alimentação infantil e ao acesso limitado a serviços de saúde de qualidade (UNICEF, 2021). A desnutrição crónica, também conhecida como nanismo, é prevalente entre as crianças moçambicanas, afectando cerca de 38% das crianças com menos de 5 anos, de acordo com o Inquérito Demográfico e de Saúde de Moçambique de 2018 (INE, 2019). Esses dados destacam a urgência de políticas públicas eficazes e de uma alocação adequada de recursos para enfrentar este problema.</w:t>
      </w:r>
    </w:p>
    <w:p w14:paraId="06158724" w14:textId="77777777" w:rsidR="00C53D01" w:rsidRDefault="00F84EE2" w:rsidP="00C53D01">
      <w:pPr>
        <w:pStyle w:val="ListParagraph"/>
        <w:numPr>
          <w:ilvl w:val="1"/>
          <w:numId w:val="16"/>
        </w:numPr>
        <w:spacing w:after="0" w:line="360" w:lineRule="auto"/>
        <w:jc w:val="both"/>
        <w:rPr>
          <w:rFonts w:ascii="Times New Roman" w:hAnsi="Times New Roman" w:cs="Times New Roman"/>
          <w:b/>
          <w:color w:val="auto"/>
        </w:rPr>
      </w:pPr>
      <w:r w:rsidRPr="00F84EE2">
        <w:rPr>
          <w:rFonts w:ascii="Times New Roman" w:hAnsi="Times New Roman" w:cs="Times New Roman"/>
          <w:b/>
          <w:color w:val="auto"/>
        </w:rPr>
        <w:t xml:space="preserve">Políticas nacionais e estratégias de nutrição </w:t>
      </w:r>
    </w:p>
    <w:p w14:paraId="751F90B6" w14:textId="02EE2009" w:rsidR="00F84EE2" w:rsidRPr="00C53D01" w:rsidRDefault="00BF351A" w:rsidP="00C53D01">
      <w:pPr>
        <w:spacing w:after="0" w:line="360" w:lineRule="auto"/>
        <w:jc w:val="both"/>
        <w:rPr>
          <w:rFonts w:ascii="Times New Roman" w:hAnsi="Times New Roman" w:cs="Times New Roman"/>
          <w:b/>
          <w:color w:val="auto"/>
        </w:rPr>
      </w:pPr>
      <w:r w:rsidRPr="00C53D01">
        <w:rPr>
          <w:rFonts w:ascii="Times New Roman" w:hAnsi="Times New Roman" w:cs="Times New Roman"/>
          <w:color w:val="auto"/>
        </w:rPr>
        <w:lastRenderedPageBreak/>
        <w:t>Moçambique adoptou várias políticas e estratégias para melhorar a nutrição infantil, entre as quais se destacam o Plano Multissectorial de Nutrição (PMN) e o Plano Estratégico do Sector da Saúde (PESS), segundo o (MISAU, 2022). Esses planos visam melhorar a segurança alimentar, aumentar o acesso a serviços de saúde, fortalecer intervenções nutricionais e promover a educação alimentar nas comunidades (MISAU, 2022). No entanto, a implementação dessas políticas enfrenta desafios, incluindo a fragmentação de recursos, dependência de doadores internacionais e capacidade institucional limitada para a execução eficaz dos programas.</w:t>
      </w:r>
    </w:p>
    <w:p w14:paraId="459B5937" w14:textId="77777777" w:rsidR="00F84EE2" w:rsidRDefault="00F84EE2" w:rsidP="00F84EE2">
      <w:pPr>
        <w:spacing w:after="0" w:line="360" w:lineRule="auto"/>
        <w:jc w:val="both"/>
        <w:rPr>
          <w:rFonts w:ascii="Times New Roman" w:hAnsi="Times New Roman" w:cs="Times New Roman"/>
          <w:color w:val="auto"/>
        </w:rPr>
      </w:pPr>
    </w:p>
    <w:p w14:paraId="38E2C1BC" w14:textId="0773DD34" w:rsidR="00F84EE2" w:rsidRPr="00F84EE2" w:rsidRDefault="00F84EE2" w:rsidP="00C53D01">
      <w:pPr>
        <w:spacing w:after="0" w:line="360" w:lineRule="auto"/>
        <w:jc w:val="both"/>
        <w:rPr>
          <w:rFonts w:ascii="Times New Roman" w:hAnsi="Times New Roman" w:cs="Times New Roman"/>
          <w:b/>
          <w:color w:val="auto"/>
        </w:rPr>
      </w:pPr>
      <w:r w:rsidRPr="00F84EE2">
        <w:rPr>
          <w:rFonts w:ascii="Times New Roman" w:hAnsi="Times New Roman" w:cs="Times New Roman"/>
          <w:b/>
          <w:color w:val="auto"/>
        </w:rPr>
        <w:t xml:space="preserve">6.3.Situação </w:t>
      </w:r>
      <w:r>
        <w:rPr>
          <w:rFonts w:ascii="Times New Roman" w:hAnsi="Times New Roman" w:cs="Times New Roman"/>
          <w:b/>
          <w:color w:val="auto"/>
        </w:rPr>
        <w:t xml:space="preserve">da </w:t>
      </w:r>
      <w:r w:rsidRPr="00F84EE2">
        <w:rPr>
          <w:rFonts w:ascii="Times New Roman" w:hAnsi="Times New Roman" w:cs="Times New Roman"/>
          <w:b/>
          <w:color w:val="auto"/>
        </w:rPr>
        <w:t xml:space="preserve">alocação orçamental para a primeira infância </w:t>
      </w:r>
    </w:p>
    <w:p w14:paraId="1205C057" w14:textId="6E2F20E3" w:rsidR="00BF351A" w:rsidRPr="00F84EE2" w:rsidRDefault="00BF351A" w:rsidP="00C53D01">
      <w:pPr>
        <w:spacing w:after="0" w:line="360" w:lineRule="auto"/>
        <w:jc w:val="both"/>
        <w:rPr>
          <w:rFonts w:ascii="Times New Roman" w:hAnsi="Times New Roman" w:cs="Times New Roman"/>
          <w:color w:val="auto"/>
        </w:rPr>
      </w:pPr>
      <w:r w:rsidRPr="00F84EE2">
        <w:rPr>
          <w:rFonts w:ascii="Times New Roman" w:hAnsi="Times New Roman" w:cs="Times New Roman"/>
          <w:color w:val="auto"/>
        </w:rPr>
        <w:t>A alocação orçamental para a nutrição infantil é essencial para o sucesso das políticas nacionais. A análise das alocações entre 2020 e 2024 revela as seguintes tendências:</w:t>
      </w:r>
    </w:p>
    <w:p w14:paraId="01B08268" w14:textId="77777777" w:rsidR="00BF351A" w:rsidRPr="00581281" w:rsidRDefault="00BF351A" w:rsidP="00581281">
      <w:pPr>
        <w:spacing w:after="160" w:line="360" w:lineRule="auto"/>
        <w:jc w:val="both"/>
        <w:rPr>
          <w:rFonts w:ascii="Times New Roman" w:hAnsi="Times New Roman" w:cs="Times New Roman"/>
          <w:color w:val="auto"/>
        </w:rPr>
      </w:pPr>
      <w:r w:rsidRPr="00581281">
        <w:rPr>
          <w:rFonts w:ascii="Times New Roman" w:hAnsi="Times New Roman" w:cs="Times New Roman"/>
          <w:color w:val="auto"/>
        </w:rPr>
        <w:t>No período de 2020 a 2021, com o início da pandemia de COVID-19, o governo de Moçambique enfrentou desafios económicos que resultaram na realocação de recursos para áreas emergenciais, incluindo a saúde pública em geral. Embora os programas de nutrição não tenham sido directamente priorizados, houve um esforço para manter operacionais os serviços básicos de saúde materno-infantil (Banco Mundial, 2021).</w:t>
      </w:r>
    </w:p>
    <w:p w14:paraId="6B87771E" w14:textId="77777777" w:rsidR="00BF351A" w:rsidRPr="00581281" w:rsidRDefault="00BF351A" w:rsidP="00581281">
      <w:pPr>
        <w:spacing w:after="160" w:line="360" w:lineRule="auto"/>
        <w:jc w:val="both"/>
        <w:rPr>
          <w:rFonts w:ascii="Times New Roman" w:hAnsi="Times New Roman" w:cs="Times New Roman"/>
          <w:color w:val="auto"/>
        </w:rPr>
      </w:pPr>
      <w:r w:rsidRPr="00581281">
        <w:rPr>
          <w:rFonts w:ascii="Times New Roman" w:hAnsi="Times New Roman" w:cs="Times New Roman"/>
          <w:color w:val="auto"/>
        </w:rPr>
        <w:t>Em 2022, o Orçamento do Estado reflecte uma recuperação económica parcial, com maior foco em áreas sociais. Houve um aumento modesto na alocação de recursos para programas de saúde e nutrição infantil, em grande parte por meio de parcerias com agências internacionais como o UNICEF e o Programa Mundial de Alimentos (PMA), de acordo com a (UNICEF, 2022). No entanto, a percentagem de recursos destinados directamente à nutrição infantil ainda era limitada, com a maioria das alocações focada em áreas emergenciais e de infraestruturas (PMA, 2022).</w:t>
      </w:r>
    </w:p>
    <w:p w14:paraId="5BD3561C" w14:textId="70101014" w:rsidR="00C53D01" w:rsidRPr="00581281" w:rsidRDefault="00BF351A" w:rsidP="00581281">
      <w:pPr>
        <w:spacing w:line="360" w:lineRule="auto"/>
        <w:jc w:val="both"/>
        <w:rPr>
          <w:rFonts w:ascii="Times New Roman" w:hAnsi="Times New Roman" w:cs="Times New Roman"/>
          <w:color w:val="auto"/>
        </w:rPr>
      </w:pPr>
      <w:r w:rsidRPr="00581281">
        <w:rPr>
          <w:rFonts w:ascii="Times New Roman" w:hAnsi="Times New Roman" w:cs="Times New Roman"/>
          <w:color w:val="auto"/>
        </w:rPr>
        <w:t>No período de 2023 a 2024, tem estado a haver uma relativa demonstração de um compromisso mais claro com a nutrição infantil, com destaque para iniciativas de combate à desnutrição crónica e programas de suplementação alimentar (UNICEF, 2023). Embora os doadores internacionais continuem a ser cruciais, o governo de Moçambique aumentou o seu investimento em saúde e educação, com um foco especial no desenvolvimento infantil integrado (MISAU, 2023).</w:t>
      </w:r>
    </w:p>
    <w:p w14:paraId="6D458BF5" w14:textId="0C3DD7D3" w:rsidR="00070213" w:rsidRPr="00F84EE2" w:rsidRDefault="00D9426E" w:rsidP="00F84EE2">
      <w:pPr>
        <w:pStyle w:val="Heading1"/>
        <w:numPr>
          <w:ilvl w:val="0"/>
          <w:numId w:val="16"/>
        </w:numPr>
        <w:spacing w:line="360" w:lineRule="auto"/>
        <w:rPr>
          <w:rFonts w:ascii="Times New Roman" w:hAnsi="Times New Roman" w:cs="Times New Roman"/>
          <w:b/>
          <w:color w:val="auto"/>
          <w:sz w:val="24"/>
          <w:szCs w:val="24"/>
        </w:rPr>
      </w:pPr>
      <w:bookmarkStart w:id="8" w:name="_Toc177992748"/>
      <w:r w:rsidRPr="00F84EE2">
        <w:rPr>
          <w:rFonts w:ascii="Times New Roman" w:hAnsi="Times New Roman" w:cs="Times New Roman"/>
          <w:b/>
          <w:color w:val="auto"/>
          <w:sz w:val="24"/>
          <w:szCs w:val="24"/>
        </w:rPr>
        <w:lastRenderedPageBreak/>
        <w:t>Tendências Gerais da Alocação Orçamental</w:t>
      </w:r>
      <w:bookmarkEnd w:id="8"/>
    </w:p>
    <w:p w14:paraId="20171E28" w14:textId="77777777" w:rsidR="00070213" w:rsidRPr="00581281" w:rsidRDefault="00BA3D83" w:rsidP="00581281">
      <w:pPr>
        <w:numPr>
          <w:ilvl w:val="0"/>
          <w:numId w:val="2"/>
        </w:numPr>
        <w:pBdr>
          <w:top w:val="nil"/>
          <w:left w:val="nil"/>
          <w:bottom w:val="nil"/>
          <w:right w:val="nil"/>
          <w:between w:val="nil"/>
        </w:pBdr>
        <w:spacing w:after="160" w:line="360" w:lineRule="auto"/>
        <w:jc w:val="both"/>
        <w:rPr>
          <w:rFonts w:ascii="Times New Roman" w:hAnsi="Times New Roman" w:cs="Times New Roman"/>
          <w:b/>
          <w:color w:val="auto"/>
        </w:rPr>
      </w:pPr>
      <w:r w:rsidRPr="00581281">
        <w:rPr>
          <w:rFonts w:ascii="Times New Roman" w:hAnsi="Times New Roman" w:cs="Times New Roman"/>
          <w:b/>
          <w:color w:val="auto"/>
        </w:rPr>
        <w:t>Peso do Sector da educação em relação ao compromisso de Dakar</w:t>
      </w:r>
    </w:p>
    <w:p w14:paraId="31ECAA97" w14:textId="1FA15683" w:rsidR="00070213" w:rsidRPr="00581281" w:rsidRDefault="00BA3D83" w:rsidP="00581281">
      <w:pPr>
        <w:spacing w:line="360" w:lineRule="auto"/>
        <w:jc w:val="both"/>
        <w:rPr>
          <w:rFonts w:ascii="Times New Roman" w:hAnsi="Times New Roman" w:cs="Times New Roman"/>
          <w:color w:val="auto"/>
        </w:rPr>
      </w:pPr>
      <w:r w:rsidRPr="00581281">
        <w:rPr>
          <w:rFonts w:ascii="Times New Roman" w:hAnsi="Times New Roman" w:cs="Times New Roman"/>
          <w:color w:val="auto"/>
        </w:rPr>
        <w:t xml:space="preserve">De 2019 a 2023, a execução dos recursos do sector da educação </w:t>
      </w:r>
      <w:r w:rsidR="00D53867" w:rsidRPr="00581281">
        <w:rPr>
          <w:rFonts w:ascii="Times New Roman" w:hAnsi="Times New Roman" w:cs="Times New Roman"/>
          <w:color w:val="auto"/>
        </w:rPr>
        <w:t xml:space="preserve">esteve abaixo do compromisso </w:t>
      </w:r>
      <w:r w:rsidRPr="00581281">
        <w:rPr>
          <w:rFonts w:ascii="Times New Roman" w:hAnsi="Times New Roman" w:cs="Times New Roman"/>
          <w:color w:val="auto"/>
        </w:rPr>
        <w:t>s</w:t>
      </w:r>
      <w:r w:rsidR="00D53867" w:rsidRPr="00581281">
        <w:rPr>
          <w:rFonts w:ascii="Times New Roman" w:hAnsi="Times New Roman" w:cs="Times New Roman"/>
          <w:color w:val="auto"/>
        </w:rPr>
        <w:t xml:space="preserve">ectorial de 20%, tendo sido </w:t>
      </w:r>
      <w:r w:rsidRPr="00581281">
        <w:rPr>
          <w:rFonts w:ascii="Times New Roman" w:hAnsi="Times New Roman" w:cs="Times New Roman"/>
          <w:color w:val="auto"/>
        </w:rPr>
        <w:t>em média, 18%. Este cenário compromete, a capacidade do governo de alcançar as metas de Educação Para Todos, com destaque para melhoraria e expansão do acesso à educação primária, obrigatória, gratuita e de boa qualidade a todas as crianças com ênfase em raparigas, crianças com necessidades educativas especiais e crianças vulneráveis. Contudo, em 2024, o cenário previsto pela Proposta do PESOE</w:t>
      </w:r>
      <w:r w:rsidR="00670788" w:rsidRPr="00581281">
        <w:rPr>
          <w:rFonts w:ascii="Times New Roman" w:hAnsi="Times New Roman" w:cs="Times New Roman"/>
          <w:color w:val="auto"/>
        </w:rPr>
        <w:t xml:space="preserve"> 2024 prevê mudar este cenário para </w:t>
      </w:r>
      <w:r w:rsidRPr="00581281">
        <w:rPr>
          <w:rFonts w:ascii="Times New Roman" w:hAnsi="Times New Roman" w:cs="Times New Roman"/>
          <w:color w:val="auto"/>
        </w:rPr>
        <w:t>22%</w:t>
      </w:r>
      <w:r w:rsidR="00670788" w:rsidRPr="00581281">
        <w:rPr>
          <w:rFonts w:ascii="Times New Roman" w:hAnsi="Times New Roman" w:cs="Times New Roman"/>
          <w:color w:val="auto"/>
        </w:rPr>
        <w:t>,</w:t>
      </w:r>
      <w:r w:rsidRPr="00581281">
        <w:rPr>
          <w:rFonts w:ascii="Times New Roman" w:hAnsi="Times New Roman" w:cs="Times New Roman"/>
          <w:color w:val="auto"/>
        </w:rPr>
        <w:t xml:space="preserve"> dando uma luz para a melhoria dos indicadores de Educação Para Todos.</w:t>
      </w:r>
    </w:p>
    <w:p w14:paraId="5F593653" w14:textId="77777777" w:rsidR="00070213" w:rsidRPr="00581281" w:rsidRDefault="00BA3D83" w:rsidP="00581281">
      <w:pPr>
        <w:keepNext/>
        <w:keepLines/>
        <w:pBdr>
          <w:top w:val="nil"/>
          <w:left w:val="nil"/>
          <w:bottom w:val="nil"/>
          <w:right w:val="nil"/>
          <w:between w:val="nil"/>
        </w:pBdr>
        <w:spacing w:after="0" w:line="360" w:lineRule="auto"/>
        <w:jc w:val="both"/>
        <w:rPr>
          <w:rFonts w:ascii="Times New Roman" w:hAnsi="Times New Roman" w:cs="Times New Roman"/>
          <w:b/>
        </w:rPr>
      </w:pPr>
      <w:r w:rsidRPr="00581281">
        <w:rPr>
          <w:rFonts w:ascii="Times New Roman" w:hAnsi="Times New Roman" w:cs="Times New Roman"/>
          <w:b/>
        </w:rPr>
        <w:t>Gráfico 1: Peso da Despesa do Sector de Educação vs Declaração de Dakar (2019 à 2024)</w:t>
      </w:r>
    </w:p>
    <w:p w14:paraId="7C85F553" w14:textId="77777777" w:rsidR="00070213" w:rsidRPr="00581281" w:rsidRDefault="00BA3D83" w:rsidP="00581281">
      <w:pPr>
        <w:keepLines/>
        <w:spacing w:after="0" w:line="360" w:lineRule="auto"/>
        <w:jc w:val="both"/>
        <w:rPr>
          <w:rFonts w:ascii="Times New Roman" w:hAnsi="Times New Roman" w:cs="Times New Roman"/>
        </w:rPr>
      </w:pPr>
      <w:r w:rsidRPr="00581281">
        <w:rPr>
          <w:rFonts w:ascii="Times New Roman" w:hAnsi="Times New Roman" w:cs="Times New Roman"/>
          <w:noProof/>
          <w:lang w:val="en-US" w:eastAsia="en-US"/>
        </w:rPr>
        <w:drawing>
          <wp:inline distT="0" distB="0" distL="0" distR="0" wp14:anchorId="0B5B4DC3" wp14:editId="61D6A3C1">
            <wp:extent cx="5857875" cy="1981200"/>
            <wp:effectExtent l="0" t="0" r="9525" b="0"/>
            <wp:docPr id="12"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16"/>
                    <a:srcRect/>
                    <a:stretch>
                      <a:fillRect/>
                    </a:stretch>
                  </pic:blipFill>
                  <pic:spPr>
                    <a:xfrm>
                      <a:off x="0" y="0"/>
                      <a:ext cx="5859337" cy="1981694"/>
                    </a:xfrm>
                    <a:prstGeom prst="rect">
                      <a:avLst/>
                    </a:prstGeom>
                    <a:ln/>
                  </pic:spPr>
                </pic:pic>
              </a:graphicData>
            </a:graphic>
          </wp:inline>
        </w:drawing>
      </w:r>
    </w:p>
    <w:p w14:paraId="3A2175ED" w14:textId="77777777" w:rsidR="00070213" w:rsidRPr="00581281" w:rsidRDefault="00BA3D83" w:rsidP="00581281">
      <w:pPr>
        <w:keepLines/>
        <w:spacing w:line="360" w:lineRule="auto"/>
        <w:jc w:val="both"/>
        <w:rPr>
          <w:rFonts w:ascii="Times New Roman" w:hAnsi="Times New Roman" w:cs="Times New Roman"/>
          <w:i/>
        </w:rPr>
      </w:pPr>
      <w:r w:rsidRPr="00581281">
        <w:rPr>
          <w:rFonts w:ascii="Times New Roman" w:hAnsi="Times New Roman" w:cs="Times New Roman"/>
          <w:i/>
        </w:rPr>
        <w:t>Fonte: CGE (2019 à 2022), PESOE (2023) e PESOE (2024)</w:t>
      </w:r>
    </w:p>
    <w:p w14:paraId="30B5D9D8" w14:textId="77777777" w:rsidR="00070213" w:rsidRPr="00581281" w:rsidRDefault="00BA3D83" w:rsidP="00581281">
      <w:pPr>
        <w:numPr>
          <w:ilvl w:val="0"/>
          <w:numId w:val="2"/>
        </w:numPr>
        <w:pBdr>
          <w:top w:val="nil"/>
          <w:left w:val="nil"/>
          <w:bottom w:val="nil"/>
          <w:right w:val="nil"/>
          <w:between w:val="nil"/>
        </w:pBdr>
        <w:spacing w:after="160" w:line="360" w:lineRule="auto"/>
        <w:jc w:val="both"/>
        <w:rPr>
          <w:rFonts w:ascii="Times New Roman" w:hAnsi="Times New Roman" w:cs="Times New Roman"/>
          <w:b/>
          <w:color w:val="auto"/>
        </w:rPr>
      </w:pPr>
      <w:r w:rsidRPr="00581281">
        <w:rPr>
          <w:rFonts w:ascii="Times New Roman" w:hAnsi="Times New Roman" w:cs="Times New Roman"/>
          <w:b/>
          <w:color w:val="auto"/>
        </w:rPr>
        <w:t>Peso do sector de saúde em relação compromisso de Abuja</w:t>
      </w:r>
    </w:p>
    <w:p w14:paraId="4B72F7A7" w14:textId="77777777" w:rsidR="00070213" w:rsidRPr="00581281" w:rsidRDefault="00BA3D83" w:rsidP="00581281">
      <w:pPr>
        <w:spacing w:line="360" w:lineRule="auto"/>
        <w:jc w:val="both"/>
        <w:rPr>
          <w:rFonts w:ascii="Times New Roman" w:hAnsi="Times New Roman" w:cs="Times New Roman"/>
          <w:color w:val="auto"/>
        </w:rPr>
      </w:pPr>
      <w:r w:rsidRPr="00581281">
        <w:rPr>
          <w:rFonts w:ascii="Times New Roman" w:hAnsi="Times New Roman" w:cs="Times New Roman"/>
          <w:color w:val="auto"/>
        </w:rPr>
        <w:t xml:space="preserve">O sector da saúde não aloca, não executa e nem mostra progressos de alocação rumo a despesa mínima de 15% em relação ao orçamento total. Enquanto as demandas do sector aumentam, os recursos executados no sector de saúde correspondem em termos médios a quase metade do compromisso assumido. Em 2024, o cenário previsto pela Proposta do PESOE 2024 mantém esta dinâmica, 8,5%, comprometendo qualquer perspectiva de melhoria do desempenho dos serviços de saúde em Moçambique, com destaque para os indicadores relacionados com crianças. </w:t>
      </w:r>
    </w:p>
    <w:p w14:paraId="1493A6C0" w14:textId="77777777" w:rsidR="00070213" w:rsidRPr="00581281" w:rsidRDefault="00BA3D83" w:rsidP="00581281">
      <w:pPr>
        <w:keepNext/>
        <w:keepLines/>
        <w:pBdr>
          <w:top w:val="nil"/>
          <w:left w:val="nil"/>
          <w:bottom w:val="nil"/>
          <w:right w:val="nil"/>
          <w:between w:val="nil"/>
        </w:pBdr>
        <w:spacing w:after="0" w:line="360" w:lineRule="auto"/>
        <w:jc w:val="both"/>
        <w:rPr>
          <w:rFonts w:ascii="Times New Roman" w:hAnsi="Times New Roman" w:cs="Times New Roman"/>
          <w:b/>
        </w:rPr>
      </w:pPr>
      <w:r w:rsidRPr="00581281">
        <w:rPr>
          <w:rFonts w:ascii="Times New Roman" w:hAnsi="Times New Roman" w:cs="Times New Roman"/>
          <w:b/>
        </w:rPr>
        <w:lastRenderedPageBreak/>
        <w:t>Gráfico 2: Peso da Despesa do Sector de Saúde vs Compromisso de Abuja (2019 à 2024)</w:t>
      </w:r>
    </w:p>
    <w:p w14:paraId="7F70C87F" w14:textId="77777777" w:rsidR="00070213" w:rsidRPr="00581281" w:rsidRDefault="00BA3D83" w:rsidP="00581281">
      <w:pPr>
        <w:keepLines/>
        <w:spacing w:after="0" w:line="360" w:lineRule="auto"/>
        <w:jc w:val="both"/>
        <w:rPr>
          <w:rFonts w:ascii="Times New Roman" w:hAnsi="Times New Roman" w:cs="Times New Roman"/>
        </w:rPr>
      </w:pPr>
      <w:r w:rsidRPr="00581281">
        <w:rPr>
          <w:rFonts w:ascii="Times New Roman" w:hAnsi="Times New Roman" w:cs="Times New Roman"/>
          <w:noProof/>
          <w:lang w:val="en-US" w:eastAsia="en-US"/>
        </w:rPr>
        <w:drawing>
          <wp:inline distT="0" distB="0" distL="0" distR="0" wp14:anchorId="7984F358" wp14:editId="0D786229">
            <wp:extent cx="5800725" cy="2057400"/>
            <wp:effectExtent l="0" t="0" r="9525" b="0"/>
            <wp:docPr id="1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7"/>
                    <a:srcRect/>
                    <a:stretch>
                      <a:fillRect/>
                    </a:stretch>
                  </pic:blipFill>
                  <pic:spPr>
                    <a:xfrm>
                      <a:off x="0" y="0"/>
                      <a:ext cx="5801362" cy="2057626"/>
                    </a:xfrm>
                    <a:prstGeom prst="rect">
                      <a:avLst/>
                    </a:prstGeom>
                    <a:ln/>
                  </pic:spPr>
                </pic:pic>
              </a:graphicData>
            </a:graphic>
          </wp:inline>
        </w:drawing>
      </w:r>
    </w:p>
    <w:p w14:paraId="24C8AB8C" w14:textId="77777777" w:rsidR="00070213" w:rsidRPr="00581281" w:rsidRDefault="00BA3D83" w:rsidP="00581281">
      <w:pPr>
        <w:keepLines/>
        <w:spacing w:after="0" w:line="360" w:lineRule="auto"/>
        <w:jc w:val="both"/>
        <w:rPr>
          <w:rFonts w:ascii="Times New Roman" w:hAnsi="Times New Roman" w:cs="Times New Roman"/>
          <w:i/>
        </w:rPr>
      </w:pPr>
      <w:r w:rsidRPr="00581281">
        <w:rPr>
          <w:rFonts w:ascii="Times New Roman" w:hAnsi="Times New Roman" w:cs="Times New Roman"/>
          <w:i/>
        </w:rPr>
        <w:t>Fonte: CGE (2019 à 2022), PESOE (2023) e  PESOE (2024)</w:t>
      </w:r>
    </w:p>
    <w:p w14:paraId="0163041F" w14:textId="77777777" w:rsidR="00D53867" w:rsidRPr="00581281" w:rsidRDefault="00D53867" w:rsidP="00581281">
      <w:pPr>
        <w:keepLines/>
        <w:spacing w:after="0" w:line="360" w:lineRule="auto"/>
        <w:jc w:val="both"/>
        <w:rPr>
          <w:rFonts w:ascii="Times New Roman" w:hAnsi="Times New Roman" w:cs="Times New Roman"/>
          <w:i/>
        </w:rPr>
      </w:pPr>
    </w:p>
    <w:p w14:paraId="4169D3A1" w14:textId="77777777" w:rsidR="00070213" w:rsidRPr="00581281" w:rsidRDefault="00BA3D83" w:rsidP="00581281">
      <w:pPr>
        <w:numPr>
          <w:ilvl w:val="0"/>
          <w:numId w:val="2"/>
        </w:numPr>
        <w:pBdr>
          <w:top w:val="nil"/>
          <w:left w:val="nil"/>
          <w:bottom w:val="nil"/>
          <w:right w:val="nil"/>
          <w:between w:val="nil"/>
        </w:pBdr>
        <w:spacing w:after="160" w:line="360" w:lineRule="auto"/>
        <w:jc w:val="both"/>
        <w:rPr>
          <w:rFonts w:ascii="Times New Roman" w:hAnsi="Times New Roman" w:cs="Times New Roman"/>
          <w:b/>
          <w:bCs/>
          <w:color w:val="auto"/>
        </w:rPr>
      </w:pPr>
      <w:r w:rsidRPr="00581281">
        <w:rPr>
          <w:rFonts w:ascii="Times New Roman" w:hAnsi="Times New Roman" w:cs="Times New Roman"/>
          <w:b/>
          <w:bCs/>
          <w:color w:val="auto"/>
        </w:rPr>
        <w:t>Tendência nominal e real de execução dos recursos no sector de educação</w:t>
      </w:r>
    </w:p>
    <w:p w14:paraId="13E8A30E" w14:textId="77777777" w:rsidR="00070213" w:rsidRPr="00581281" w:rsidRDefault="00BA3D83" w:rsidP="00581281">
      <w:pPr>
        <w:spacing w:line="360" w:lineRule="auto"/>
        <w:jc w:val="both"/>
        <w:rPr>
          <w:rFonts w:ascii="Times New Roman" w:hAnsi="Times New Roman" w:cs="Times New Roman"/>
          <w:color w:val="auto"/>
        </w:rPr>
      </w:pPr>
      <w:r w:rsidRPr="00581281">
        <w:rPr>
          <w:rFonts w:ascii="Times New Roman" w:hAnsi="Times New Roman" w:cs="Times New Roman"/>
          <w:color w:val="auto"/>
        </w:rPr>
        <w:t>No geral, tanto em termos nominais como em termos reais, a execução da despesa do sector de educação alterna entre aumentos e diminuições, de um ano para o outro. Por exemplo, a execução de 2021 e a alocação de 2023 estiveram abaixo dos anos anteriores, 2020 e 2022, respectivamente. Isto indica que, além do governo não cumprir com os compromissos sectoriais da educação, a execução e a alocação de recursos não acompanha a tendência de preços para aquisição de bens e serviços para o sector o que limita ainda mais a capacidade de melhoria progressiva dos indicadores de Educação Para Todos.</w:t>
      </w:r>
    </w:p>
    <w:p w14:paraId="5EC40236" w14:textId="77777777" w:rsidR="00070213" w:rsidRPr="00581281" w:rsidRDefault="00BA3D83" w:rsidP="00581281">
      <w:pPr>
        <w:keepNext/>
        <w:pBdr>
          <w:top w:val="nil"/>
          <w:left w:val="nil"/>
          <w:bottom w:val="nil"/>
          <w:right w:val="nil"/>
          <w:between w:val="nil"/>
        </w:pBdr>
        <w:spacing w:after="200" w:line="360" w:lineRule="auto"/>
        <w:jc w:val="both"/>
        <w:rPr>
          <w:rFonts w:ascii="Times New Roman" w:hAnsi="Times New Roman" w:cs="Times New Roman"/>
          <w:b/>
        </w:rPr>
      </w:pPr>
      <w:r w:rsidRPr="00581281">
        <w:rPr>
          <w:rFonts w:ascii="Times New Roman" w:hAnsi="Times New Roman" w:cs="Times New Roman"/>
          <w:b/>
        </w:rPr>
        <w:t>Gráfico 3: Execução/Alocação nominal e real da Educação (2019 à 2024)</w:t>
      </w:r>
    </w:p>
    <w:p w14:paraId="2095BF50" w14:textId="77777777" w:rsidR="00070213" w:rsidRPr="00581281" w:rsidRDefault="00BA3D83" w:rsidP="00581281">
      <w:pPr>
        <w:spacing w:after="0" w:line="360" w:lineRule="auto"/>
        <w:jc w:val="both"/>
        <w:rPr>
          <w:rFonts w:ascii="Times New Roman" w:hAnsi="Times New Roman" w:cs="Times New Roman"/>
          <w:b/>
        </w:rPr>
      </w:pPr>
      <w:r w:rsidRPr="00581281">
        <w:rPr>
          <w:rFonts w:ascii="Times New Roman" w:hAnsi="Times New Roman" w:cs="Times New Roman"/>
          <w:noProof/>
          <w:lang w:val="en-US" w:eastAsia="en-US"/>
        </w:rPr>
        <w:drawing>
          <wp:inline distT="0" distB="0" distL="0" distR="0" wp14:anchorId="311F6BBC" wp14:editId="579331BC">
            <wp:extent cx="5791200" cy="2247900"/>
            <wp:effectExtent l="0" t="0" r="0" b="0"/>
            <wp:docPr id="14"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8"/>
                    <a:srcRect/>
                    <a:stretch>
                      <a:fillRect/>
                    </a:stretch>
                  </pic:blipFill>
                  <pic:spPr>
                    <a:xfrm>
                      <a:off x="0" y="0"/>
                      <a:ext cx="5791553" cy="2248037"/>
                    </a:xfrm>
                    <a:prstGeom prst="rect">
                      <a:avLst/>
                    </a:prstGeom>
                    <a:ln/>
                  </pic:spPr>
                </pic:pic>
              </a:graphicData>
            </a:graphic>
          </wp:inline>
        </w:drawing>
      </w:r>
    </w:p>
    <w:p w14:paraId="2BD936E8" w14:textId="26E12C72" w:rsidR="00070213" w:rsidRPr="00581281" w:rsidRDefault="00BA3D83" w:rsidP="00581281">
      <w:pPr>
        <w:keepLines/>
        <w:spacing w:after="0" w:line="360" w:lineRule="auto"/>
        <w:jc w:val="both"/>
        <w:rPr>
          <w:rFonts w:ascii="Times New Roman" w:hAnsi="Times New Roman" w:cs="Times New Roman"/>
          <w:i/>
          <w:color w:val="auto"/>
        </w:rPr>
      </w:pPr>
      <w:r w:rsidRPr="00581281">
        <w:rPr>
          <w:rFonts w:ascii="Times New Roman" w:hAnsi="Times New Roman" w:cs="Times New Roman"/>
          <w:i/>
          <w:color w:val="auto"/>
        </w:rPr>
        <w:lastRenderedPageBreak/>
        <w:t>Fonte: CGE</w:t>
      </w:r>
      <w:r w:rsidR="00670788" w:rsidRPr="00581281">
        <w:rPr>
          <w:rFonts w:ascii="Times New Roman" w:hAnsi="Times New Roman" w:cs="Times New Roman"/>
          <w:i/>
          <w:color w:val="auto"/>
        </w:rPr>
        <w:t xml:space="preserve"> (2019 à 2022), PESOE (2023) e </w:t>
      </w:r>
      <w:r w:rsidRPr="00581281">
        <w:rPr>
          <w:rFonts w:ascii="Times New Roman" w:hAnsi="Times New Roman" w:cs="Times New Roman"/>
          <w:i/>
          <w:color w:val="auto"/>
        </w:rPr>
        <w:t>PESOE (2024)</w:t>
      </w:r>
    </w:p>
    <w:p w14:paraId="30746C09" w14:textId="77777777" w:rsidR="00670788" w:rsidRPr="00581281" w:rsidRDefault="00670788" w:rsidP="00581281">
      <w:pPr>
        <w:keepLines/>
        <w:spacing w:after="0" w:line="360" w:lineRule="auto"/>
        <w:jc w:val="both"/>
        <w:rPr>
          <w:rFonts w:ascii="Times New Roman" w:hAnsi="Times New Roman" w:cs="Times New Roman"/>
          <w:i/>
          <w:color w:val="auto"/>
        </w:rPr>
      </w:pPr>
    </w:p>
    <w:p w14:paraId="70204D00" w14:textId="77777777" w:rsidR="00070213" w:rsidRPr="00581281" w:rsidRDefault="00BA3D83" w:rsidP="00581281">
      <w:pPr>
        <w:numPr>
          <w:ilvl w:val="0"/>
          <w:numId w:val="2"/>
        </w:numPr>
        <w:pBdr>
          <w:top w:val="nil"/>
          <w:left w:val="nil"/>
          <w:bottom w:val="nil"/>
          <w:right w:val="nil"/>
          <w:between w:val="nil"/>
        </w:pBdr>
        <w:spacing w:after="160" w:line="360" w:lineRule="auto"/>
        <w:jc w:val="both"/>
        <w:rPr>
          <w:rFonts w:ascii="Times New Roman" w:hAnsi="Times New Roman" w:cs="Times New Roman"/>
          <w:b/>
          <w:color w:val="auto"/>
        </w:rPr>
      </w:pPr>
      <w:r w:rsidRPr="00581281">
        <w:rPr>
          <w:rFonts w:ascii="Times New Roman" w:hAnsi="Times New Roman" w:cs="Times New Roman"/>
          <w:b/>
          <w:color w:val="auto"/>
        </w:rPr>
        <w:t>Tendência nominal e real de execução dos recursos no sector de saúde</w:t>
      </w:r>
    </w:p>
    <w:p w14:paraId="2236DE88" w14:textId="77777777" w:rsidR="00070213" w:rsidRPr="00581281" w:rsidRDefault="00BA3D83" w:rsidP="00581281">
      <w:pPr>
        <w:spacing w:line="360" w:lineRule="auto"/>
        <w:jc w:val="both"/>
        <w:rPr>
          <w:rFonts w:ascii="Times New Roman" w:hAnsi="Times New Roman" w:cs="Times New Roman"/>
          <w:color w:val="auto"/>
        </w:rPr>
      </w:pPr>
      <w:r w:rsidRPr="00581281">
        <w:rPr>
          <w:rFonts w:ascii="Times New Roman" w:hAnsi="Times New Roman" w:cs="Times New Roman"/>
          <w:color w:val="auto"/>
        </w:rPr>
        <w:t xml:space="preserve">A semelhança do sector de educação, o sector de saúde não tem estado a acompanhar de forma progressiva a tendência geral de preços, evidenciando uma deterioração do poder de compra do sector. De facto, de 2022 a 2024, há uma tendência de diminuição de volume de recursos para o sector de saúde, tanto em termos nominais como reais. Este cenário indica que, a alocação dos recursos para o sector de saúde está em contramão com as demandas do sector, que naturalmente aumenta de acordo com o ritmo de crescimento da população. </w:t>
      </w:r>
    </w:p>
    <w:p w14:paraId="2E03BFAE" w14:textId="77777777" w:rsidR="00070213" w:rsidRPr="00581281" w:rsidRDefault="00BA3D83" w:rsidP="00581281">
      <w:pPr>
        <w:keepNext/>
        <w:pBdr>
          <w:top w:val="nil"/>
          <w:left w:val="nil"/>
          <w:bottom w:val="nil"/>
          <w:right w:val="nil"/>
          <w:between w:val="nil"/>
        </w:pBdr>
        <w:spacing w:after="200" w:line="360" w:lineRule="auto"/>
        <w:jc w:val="both"/>
        <w:rPr>
          <w:rFonts w:ascii="Times New Roman" w:hAnsi="Times New Roman" w:cs="Times New Roman"/>
          <w:b/>
        </w:rPr>
      </w:pPr>
      <w:r w:rsidRPr="00581281">
        <w:rPr>
          <w:rFonts w:ascii="Times New Roman" w:hAnsi="Times New Roman" w:cs="Times New Roman"/>
          <w:b/>
        </w:rPr>
        <w:t>Gráfico 4: Execução/Alocação nominal e real da Saúde (2019 à 2024)</w:t>
      </w:r>
    </w:p>
    <w:p w14:paraId="60DD397F" w14:textId="77777777" w:rsidR="00070213" w:rsidRPr="00581281" w:rsidRDefault="00BA3D83" w:rsidP="00581281">
      <w:pPr>
        <w:spacing w:after="100" w:line="360" w:lineRule="auto"/>
        <w:jc w:val="both"/>
        <w:rPr>
          <w:rFonts w:ascii="Times New Roman" w:hAnsi="Times New Roman" w:cs="Times New Roman"/>
          <w:b/>
        </w:rPr>
      </w:pPr>
      <w:r w:rsidRPr="00581281">
        <w:rPr>
          <w:rFonts w:ascii="Times New Roman" w:hAnsi="Times New Roman" w:cs="Times New Roman"/>
          <w:noProof/>
          <w:lang w:val="en-US" w:eastAsia="en-US"/>
        </w:rPr>
        <w:drawing>
          <wp:inline distT="0" distB="0" distL="0" distR="0" wp14:anchorId="26BB5615" wp14:editId="7B83EC57">
            <wp:extent cx="5803265" cy="2038350"/>
            <wp:effectExtent l="0" t="0" r="6985" b="0"/>
            <wp:docPr id="13"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9"/>
                    <a:srcRect/>
                    <a:stretch>
                      <a:fillRect/>
                    </a:stretch>
                  </pic:blipFill>
                  <pic:spPr>
                    <a:xfrm>
                      <a:off x="0" y="0"/>
                      <a:ext cx="5803690" cy="2038499"/>
                    </a:xfrm>
                    <a:prstGeom prst="rect">
                      <a:avLst/>
                    </a:prstGeom>
                    <a:ln/>
                  </pic:spPr>
                </pic:pic>
              </a:graphicData>
            </a:graphic>
          </wp:inline>
        </w:drawing>
      </w:r>
    </w:p>
    <w:p w14:paraId="199A7EFE" w14:textId="742F3ADE" w:rsidR="00070213" w:rsidRPr="00581281" w:rsidRDefault="00BA3D83" w:rsidP="00581281">
      <w:pPr>
        <w:keepLines/>
        <w:spacing w:line="360" w:lineRule="auto"/>
        <w:jc w:val="both"/>
        <w:rPr>
          <w:rFonts w:ascii="Times New Roman" w:hAnsi="Times New Roman" w:cs="Times New Roman"/>
          <w:i/>
        </w:rPr>
      </w:pPr>
      <w:r w:rsidRPr="00581281">
        <w:rPr>
          <w:rFonts w:ascii="Times New Roman" w:hAnsi="Times New Roman" w:cs="Times New Roman"/>
          <w:i/>
        </w:rPr>
        <w:t>Fonte: CGE (2019 à 2022), PESOE (2023) e  PESOE (2024)</w:t>
      </w:r>
    </w:p>
    <w:p w14:paraId="5706A6D2" w14:textId="77777777" w:rsidR="00070213" w:rsidRPr="00581281" w:rsidRDefault="00BA3D83" w:rsidP="00581281">
      <w:pPr>
        <w:numPr>
          <w:ilvl w:val="0"/>
          <w:numId w:val="2"/>
        </w:numPr>
        <w:pBdr>
          <w:top w:val="nil"/>
          <w:left w:val="nil"/>
          <w:bottom w:val="nil"/>
          <w:right w:val="nil"/>
          <w:between w:val="nil"/>
        </w:pBdr>
        <w:spacing w:after="160" w:line="360" w:lineRule="auto"/>
        <w:jc w:val="both"/>
        <w:rPr>
          <w:rFonts w:ascii="Times New Roman" w:hAnsi="Times New Roman" w:cs="Times New Roman"/>
          <w:b/>
          <w:bCs/>
        </w:rPr>
      </w:pPr>
      <w:r w:rsidRPr="00581281">
        <w:rPr>
          <w:rFonts w:ascii="Times New Roman" w:hAnsi="Times New Roman" w:cs="Times New Roman"/>
          <w:b/>
          <w:bCs/>
        </w:rPr>
        <w:t>Alcance dos indicadores de educação relacionados com crianças definidos no PQG</w:t>
      </w:r>
    </w:p>
    <w:p w14:paraId="353AAA3F" w14:textId="77777777" w:rsidR="00070213" w:rsidRPr="00581281" w:rsidRDefault="00BA3D83" w:rsidP="00581281">
      <w:pPr>
        <w:pBdr>
          <w:top w:val="nil"/>
          <w:left w:val="nil"/>
          <w:bottom w:val="nil"/>
          <w:right w:val="nil"/>
          <w:between w:val="nil"/>
        </w:pBdr>
        <w:spacing w:after="0" w:line="360" w:lineRule="auto"/>
        <w:jc w:val="both"/>
        <w:rPr>
          <w:rFonts w:ascii="Times New Roman" w:hAnsi="Times New Roman" w:cs="Times New Roman"/>
          <w:b/>
        </w:rPr>
      </w:pPr>
      <w:bookmarkStart w:id="9" w:name="_26in1rg" w:colFirst="0" w:colLast="0"/>
      <w:bookmarkEnd w:id="9"/>
      <w:r w:rsidRPr="00581281">
        <w:rPr>
          <w:rFonts w:ascii="Times New Roman" w:hAnsi="Times New Roman" w:cs="Times New Roman"/>
          <w:b/>
        </w:rPr>
        <w:t>Tabela 1: Alcance dos indicadores do PQG relacionados com a educação das crianças</w:t>
      </w:r>
    </w:p>
    <w:tbl>
      <w:tblPr>
        <w:tblW w:w="9350" w:type="dxa"/>
        <w:tblCellMar>
          <w:left w:w="70" w:type="dxa"/>
          <w:right w:w="70" w:type="dxa"/>
        </w:tblCellMar>
        <w:tblLook w:val="04A0" w:firstRow="1" w:lastRow="0" w:firstColumn="1" w:lastColumn="0" w:noHBand="0" w:noVBand="1"/>
      </w:tblPr>
      <w:tblGrid>
        <w:gridCol w:w="1971"/>
        <w:gridCol w:w="1235"/>
        <w:gridCol w:w="1208"/>
        <w:gridCol w:w="1190"/>
        <w:gridCol w:w="586"/>
        <w:gridCol w:w="686"/>
        <w:gridCol w:w="1214"/>
        <w:gridCol w:w="1260"/>
      </w:tblGrid>
      <w:tr w:rsidR="008D10D8" w:rsidRPr="006A4310" w14:paraId="15AEDDD2" w14:textId="77777777" w:rsidTr="2B8B3F1E">
        <w:trPr>
          <w:trHeight w:val="695"/>
        </w:trPr>
        <w:tc>
          <w:tcPr>
            <w:tcW w:w="1971" w:type="dxa"/>
            <w:tcBorders>
              <w:top w:val="single" w:sz="4" w:space="0" w:color="auto"/>
              <w:left w:val="single" w:sz="4" w:space="0" w:color="auto"/>
              <w:bottom w:val="single" w:sz="4" w:space="0" w:color="auto"/>
              <w:right w:val="single" w:sz="4" w:space="0" w:color="auto"/>
            </w:tcBorders>
            <w:shd w:val="clear" w:color="auto" w:fill="DDEBF7"/>
            <w:noWrap/>
            <w:vAlign w:val="center"/>
            <w:hideMark/>
          </w:tcPr>
          <w:p w14:paraId="30FC89D0" w14:textId="77777777" w:rsidR="00091C8D" w:rsidRPr="006A4310" w:rsidRDefault="00091C8D" w:rsidP="006A4310">
            <w:pPr>
              <w:spacing w:after="0" w:line="240" w:lineRule="auto"/>
              <w:jc w:val="both"/>
              <w:rPr>
                <w:rFonts w:ascii="Times New Roman" w:eastAsia="Times New Roman" w:hAnsi="Times New Roman" w:cs="Times New Roman"/>
                <w:b/>
                <w:bCs/>
                <w:color w:val="auto"/>
                <w:sz w:val="20"/>
                <w:szCs w:val="20"/>
              </w:rPr>
            </w:pPr>
            <w:r w:rsidRPr="006A4310">
              <w:rPr>
                <w:rFonts w:ascii="Times New Roman" w:eastAsia="Times New Roman" w:hAnsi="Times New Roman" w:cs="Times New Roman"/>
                <w:b/>
                <w:bCs/>
                <w:color w:val="auto"/>
                <w:sz w:val="20"/>
                <w:szCs w:val="20"/>
              </w:rPr>
              <w:t>Indicadores Relacionados com a Criança</w:t>
            </w:r>
          </w:p>
        </w:tc>
        <w:tc>
          <w:tcPr>
            <w:tcW w:w="1235" w:type="dxa"/>
            <w:tcBorders>
              <w:top w:val="single" w:sz="4" w:space="0" w:color="auto"/>
              <w:left w:val="nil"/>
              <w:bottom w:val="single" w:sz="4" w:space="0" w:color="auto"/>
              <w:right w:val="single" w:sz="4" w:space="0" w:color="auto"/>
            </w:tcBorders>
            <w:shd w:val="clear" w:color="auto" w:fill="DDEBF7"/>
            <w:noWrap/>
            <w:vAlign w:val="center"/>
            <w:hideMark/>
          </w:tcPr>
          <w:p w14:paraId="633FC4DB" w14:textId="77777777" w:rsidR="00091C8D" w:rsidRPr="006A4310" w:rsidRDefault="00091C8D" w:rsidP="006A4310">
            <w:pPr>
              <w:spacing w:after="0" w:line="240" w:lineRule="auto"/>
              <w:jc w:val="both"/>
              <w:rPr>
                <w:rFonts w:ascii="Times New Roman" w:eastAsia="Times New Roman" w:hAnsi="Times New Roman" w:cs="Times New Roman"/>
                <w:b/>
                <w:bCs/>
                <w:color w:val="auto"/>
                <w:sz w:val="20"/>
                <w:szCs w:val="20"/>
              </w:rPr>
            </w:pPr>
            <w:r w:rsidRPr="006A4310">
              <w:rPr>
                <w:rFonts w:ascii="Times New Roman" w:eastAsia="Times New Roman" w:hAnsi="Times New Roman" w:cs="Times New Roman"/>
                <w:b/>
                <w:bCs/>
                <w:color w:val="auto"/>
                <w:sz w:val="20"/>
                <w:szCs w:val="20"/>
              </w:rPr>
              <w:t>Base 2019</w:t>
            </w:r>
          </w:p>
        </w:tc>
        <w:tc>
          <w:tcPr>
            <w:tcW w:w="1208" w:type="dxa"/>
            <w:tcBorders>
              <w:top w:val="single" w:sz="4" w:space="0" w:color="auto"/>
              <w:left w:val="nil"/>
              <w:bottom w:val="single" w:sz="4" w:space="0" w:color="auto"/>
              <w:right w:val="single" w:sz="4" w:space="0" w:color="auto"/>
            </w:tcBorders>
            <w:shd w:val="clear" w:color="auto" w:fill="DDEBF7"/>
            <w:noWrap/>
            <w:vAlign w:val="center"/>
            <w:hideMark/>
          </w:tcPr>
          <w:p w14:paraId="206FECAA" w14:textId="77777777" w:rsidR="00091C8D" w:rsidRPr="006A4310" w:rsidRDefault="00091C8D" w:rsidP="006A4310">
            <w:pPr>
              <w:spacing w:after="0" w:line="240" w:lineRule="auto"/>
              <w:jc w:val="both"/>
              <w:rPr>
                <w:rFonts w:ascii="Times New Roman" w:eastAsia="Times New Roman" w:hAnsi="Times New Roman" w:cs="Times New Roman"/>
                <w:b/>
                <w:bCs/>
                <w:color w:val="auto"/>
                <w:sz w:val="20"/>
                <w:szCs w:val="20"/>
              </w:rPr>
            </w:pPr>
            <w:r w:rsidRPr="006A4310">
              <w:rPr>
                <w:rFonts w:ascii="Times New Roman" w:eastAsia="Times New Roman" w:hAnsi="Times New Roman" w:cs="Times New Roman"/>
                <w:b/>
                <w:bCs/>
                <w:color w:val="auto"/>
                <w:sz w:val="20"/>
                <w:szCs w:val="20"/>
              </w:rPr>
              <w:t>2020</w:t>
            </w:r>
          </w:p>
        </w:tc>
        <w:tc>
          <w:tcPr>
            <w:tcW w:w="1190" w:type="dxa"/>
            <w:tcBorders>
              <w:top w:val="single" w:sz="4" w:space="0" w:color="auto"/>
              <w:left w:val="nil"/>
              <w:bottom w:val="single" w:sz="4" w:space="0" w:color="auto"/>
              <w:right w:val="single" w:sz="4" w:space="0" w:color="auto"/>
            </w:tcBorders>
            <w:shd w:val="clear" w:color="auto" w:fill="DDEBF7"/>
            <w:noWrap/>
            <w:vAlign w:val="center"/>
            <w:hideMark/>
          </w:tcPr>
          <w:p w14:paraId="00D6E6D7" w14:textId="77777777" w:rsidR="00091C8D" w:rsidRPr="006A4310" w:rsidRDefault="00091C8D" w:rsidP="006A4310">
            <w:pPr>
              <w:spacing w:after="0" w:line="240" w:lineRule="auto"/>
              <w:jc w:val="both"/>
              <w:rPr>
                <w:rFonts w:ascii="Times New Roman" w:eastAsia="Times New Roman" w:hAnsi="Times New Roman" w:cs="Times New Roman"/>
                <w:b/>
                <w:bCs/>
                <w:color w:val="auto"/>
                <w:sz w:val="20"/>
                <w:szCs w:val="20"/>
              </w:rPr>
            </w:pPr>
            <w:r w:rsidRPr="006A4310">
              <w:rPr>
                <w:rFonts w:ascii="Times New Roman" w:eastAsia="Times New Roman" w:hAnsi="Times New Roman" w:cs="Times New Roman"/>
                <w:b/>
                <w:bCs/>
                <w:color w:val="auto"/>
                <w:sz w:val="20"/>
                <w:szCs w:val="20"/>
              </w:rPr>
              <w:t>2021</w:t>
            </w:r>
          </w:p>
        </w:tc>
        <w:tc>
          <w:tcPr>
            <w:tcW w:w="586" w:type="dxa"/>
            <w:tcBorders>
              <w:top w:val="single" w:sz="4" w:space="0" w:color="auto"/>
              <w:left w:val="nil"/>
              <w:bottom w:val="single" w:sz="4" w:space="0" w:color="auto"/>
              <w:right w:val="single" w:sz="4" w:space="0" w:color="auto"/>
            </w:tcBorders>
            <w:shd w:val="clear" w:color="auto" w:fill="DDEBF7"/>
            <w:noWrap/>
            <w:vAlign w:val="center"/>
            <w:hideMark/>
          </w:tcPr>
          <w:p w14:paraId="4F62789B" w14:textId="77777777" w:rsidR="00091C8D" w:rsidRPr="006A4310" w:rsidRDefault="00091C8D" w:rsidP="006A4310">
            <w:pPr>
              <w:spacing w:after="0" w:line="240" w:lineRule="auto"/>
              <w:jc w:val="both"/>
              <w:rPr>
                <w:rFonts w:ascii="Times New Roman" w:eastAsia="Times New Roman" w:hAnsi="Times New Roman" w:cs="Times New Roman"/>
                <w:b/>
                <w:bCs/>
                <w:color w:val="auto"/>
                <w:sz w:val="20"/>
                <w:szCs w:val="20"/>
              </w:rPr>
            </w:pPr>
            <w:r w:rsidRPr="006A4310">
              <w:rPr>
                <w:rFonts w:ascii="Times New Roman" w:eastAsia="Times New Roman" w:hAnsi="Times New Roman" w:cs="Times New Roman"/>
                <w:b/>
                <w:bCs/>
                <w:color w:val="auto"/>
                <w:sz w:val="20"/>
                <w:szCs w:val="20"/>
              </w:rPr>
              <w:t>2022</w:t>
            </w:r>
          </w:p>
        </w:tc>
        <w:tc>
          <w:tcPr>
            <w:tcW w:w="686" w:type="dxa"/>
            <w:tcBorders>
              <w:top w:val="single" w:sz="4" w:space="0" w:color="auto"/>
              <w:left w:val="nil"/>
              <w:bottom w:val="single" w:sz="4" w:space="0" w:color="auto"/>
              <w:right w:val="single" w:sz="4" w:space="0" w:color="auto"/>
            </w:tcBorders>
            <w:shd w:val="clear" w:color="auto" w:fill="DDEBF7"/>
            <w:noWrap/>
            <w:vAlign w:val="center"/>
            <w:hideMark/>
          </w:tcPr>
          <w:p w14:paraId="0FB9BC7D" w14:textId="77777777" w:rsidR="00091C8D" w:rsidRPr="006A4310" w:rsidRDefault="00091C8D" w:rsidP="006A4310">
            <w:pPr>
              <w:spacing w:after="0" w:line="240" w:lineRule="auto"/>
              <w:jc w:val="both"/>
              <w:rPr>
                <w:rFonts w:ascii="Times New Roman" w:eastAsia="Times New Roman" w:hAnsi="Times New Roman" w:cs="Times New Roman"/>
                <w:b/>
                <w:bCs/>
                <w:color w:val="auto"/>
                <w:sz w:val="20"/>
                <w:szCs w:val="20"/>
              </w:rPr>
            </w:pPr>
            <w:r w:rsidRPr="006A4310">
              <w:rPr>
                <w:rFonts w:ascii="Times New Roman" w:eastAsia="Times New Roman" w:hAnsi="Times New Roman" w:cs="Times New Roman"/>
                <w:b/>
                <w:bCs/>
                <w:color w:val="auto"/>
                <w:sz w:val="20"/>
                <w:szCs w:val="20"/>
              </w:rPr>
              <w:t>I Sem 2023</w:t>
            </w:r>
          </w:p>
        </w:tc>
        <w:tc>
          <w:tcPr>
            <w:tcW w:w="1214" w:type="dxa"/>
            <w:tcBorders>
              <w:top w:val="single" w:sz="4" w:space="0" w:color="auto"/>
              <w:left w:val="nil"/>
              <w:bottom w:val="single" w:sz="4" w:space="0" w:color="auto"/>
              <w:right w:val="single" w:sz="4" w:space="0" w:color="auto"/>
            </w:tcBorders>
            <w:shd w:val="clear" w:color="auto" w:fill="DDEBF7"/>
            <w:noWrap/>
            <w:vAlign w:val="center"/>
            <w:hideMark/>
          </w:tcPr>
          <w:p w14:paraId="6380AEBF" w14:textId="77777777" w:rsidR="00091C8D" w:rsidRPr="006A4310" w:rsidRDefault="00091C8D" w:rsidP="006A4310">
            <w:pPr>
              <w:spacing w:after="0" w:line="240" w:lineRule="auto"/>
              <w:jc w:val="both"/>
              <w:rPr>
                <w:rFonts w:ascii="Times New Roman" w:eastAsia="Times New Roman" w:hAnsi="Times New Roman" w:cs="Times New Roman"/>
                <w:b/>
                <w:bCs/>
                <w:color w:val="auto"/>
                <w:sz w:val="20"/>
                <w:szCs w:val="20"/>
              </w:rPr>
            </w:pPr>
            <w:r w:rsidRPr="006A4310">
              <w:rPr>
                <w:rFonts w:ascii="Times New Roman" w:eastAsia="Times New Roman" w:hAnsi="Times New Roman" w:cs="Times New Roman"/>
                <w:b/>
                <w:bCs/>
                <w:color w:val="auto"/>
                <w:sz w:val="20"/>
                <w:szCs w:val="20"/>
              </w:rPr>
              <w:t>Plano 2024</w:t>
            </w:r>
          </w:p>
        </w:tc>
        <w:tc>
          <w:tcPr>
            <w:tcW w:w="1260" w:type="dxa"/>
            <w:tcBorders>
              <w:top w:val="single" w:sz="4" w:space="0" w:color="auto"/>
              <w:left w:val="nil"/>
              <w:bottom w:val="single" w:sz="4" w:space="0" w:color="auto"/>
              <w:right w:val="single" w:sz="4" w:space="0" w:color="auto"/>
            </w:tcBorders>
            <w:shd w:val="clear" w:color="auto" w:fill="DDEBF7"/>
            <w:vAlign w:val="center"/>
            <w:hideMark/>
          </w:tcPr>
          <w:p w14:paraId="5ABCBD16" w14:textId="77777777" w:rsidR="00091C8D" w:rsidRPr="006A4310" w:rsidRDefault="00091C8D" w:rsidP="006A4310">
            <w:pPr>
              <w:spacing w:after="0" w:line="240" w:lineRule="auto"/>
              <w:jc w:val="both"/>
              <w:rPr>
                <w:rFonts w:ascii="Times New Roman" w:eastAsia="Times New Roman" w:hAnsi="Times New Roman" w:cs="Times New Roman"/>
                <w:b/>
                <w:bCs/>
                <w:color w:val="auto"/>
                <w:sz w:val="20"/>
                <w:szCs w:val="20"/>
              </w:rPr>
            </w:pPr>
            <w:r w:rsidRPr="006A4310">
              <w:rPr>
                <w:rFonts w:ascii="Times New Roman" w:eastAsia="Times New Roman" w:hAnsi="Times New Roman" w:cs="Times New Roman"/>
                <w:b/>
                <w:bCs/>
                <w:color w:val="auto"/>
                <w:sz w:val="20"/>
                <w:szCs w:val="20"/>
              </w:rPr>
              <w:t>Meta PQG 2019 - 2024</w:t>
            </w:r>
          </w:p>
        </w:tc>
      </w:tr>
      <w:tr w:rsidR="008D10D8" w:rsidRPr="006A4310" w14:paraId="5A881DB2" w14:textId="77777777" w:rsidTr="2B8B3F1E">
        <w:trPr>
          <w:trHeight w:val="347"/>
        </w:trPr>
        <w:tc>
          <w:tcPr>
            <w:tcW w:w="1971" w:type="dxa"/>
            <w:tcBorders>
              <w:top w:val="nil"/>
              <w:left w:val="single" w:sz="4" w:space="0" w:color="auto"/>
              <w:bottom w:val="single" w:sz="4" w:space="0" w:color="auto"/>
              <w:right w:val="single" w:sz="4" w:space="0" w:color="auto"/>
            </w:tcBorders>
            <w:shd w:val="clear" w:color="auto" w:fill="auto"/>
            <w:noWrap/>
            <w:vAlign w:val="bottom"/>
            <w:hideMark/>
          </w:tcPr>
          <w:p w14:paraId="7080792F" w14:textId="77777777" w:rsidR="00091C8D" w:rsidRPr="006A4310" w:rsidRDefault="05BB3FB2" w:rsidP="006A4310">
            <w:pPr>
              <w:spacing w:after="0" w:line="240" w:lineRule="auto"/>
              <w:jc w:val="both"/>
              <w:rPr>
                <w:rFonts w:ascii="Times New Roman" w:eastAsia="Times New Roman" w:hAnsi="Times New Roman" w:cs="Times New Roman"/>
                <w:color w:val="auto"/>
                <w:sz w:val="20"/>
                <w:szCs w:val="20"/>
              </w:rPr>
            </w:pPr>
            <w:r w:rsidRPr="006A4310">
              <w:rPr>
                <w:rFonts w:ascii="Times New Roman" w:eastAsia="Times New Roman" w:hAnsi="Times New Roman" w:cs="Times New Roman"/>
                <w:color w:val="auto"/>
                <w:sz w:val="20"/>
                <w:szCs w:val="20"/>
              </w:rPr>
              <w:t>Taxa líquida de escolarização na 1 classe, aos 6 anos</w:t>
            </w:r>
          </w:p>
        </w:tc>
        <w:tc>
          <w:tcPr>
            <w:tcW w:w="1235" w:type="dxa"/>
            <w:tcBorders>
              <w:top w:val="nil"/>
              <w:left w:val="nil"/>
              <w:bottom w:val="single" w:sz="4" w:space="0" w:color="auto"/>
              <w:right w:val="single" w:sz="4" w:space="0" w:color="auto"/>
            </w:tcBorders>
            <w:shd w:val="clear" w:color="auto" w:fill="auto"/>
            <w:noWrap/>
            <w:vAlign w:val="center"/>
            <w:hideMark/>
          </w:tcPr>
          <w:p w14:paraId="0BB5ED40" w14:textId="77777777" w:rsidR="00091C8D" w:rsidRPr="006A4310" w:rsidRDefault="00091C8D" w:rsidP="006A4310">
            <w:pPr>
              <w:spacing w:after="0" w:line="240" w:lineRule="auto"/>
              <w:jc w:val="both"/>
              <w:rPr>
                <w:rFonts w:ascii="Times New Roman" w:eastAsia="Times New Roman" w:hAnsi="Times New Roman" w:cs="Times New Roman"/>
                <w:color w:val="auto"/>
                <w:sz w:val="20"/>
                <w:szCs w:val="20"/>
              </w:rPr>
            </w:pPr>
            <w:r w:rsidRPr="006A4310">
              <w:rPr>
                <w:rFonts w:ascii="Times New Roman" w:eastAsia="Times New Roman" w:hAnsi="Times New Roman" w:cs="Times New Roman"/>
                <w:color w:val="auto"/>
                <w:sz w:val="20"/>
                <w:szCs w:val="20"/>
              </w:rPr>
              <w:t>93%</w:t>
            </w:r>
          </w:p>
        </w:tc>
        <w:tc>
          <w:tcPr>
            <w:tcW w:w="1208" w:type="dxa"/>
            <w:tcBorders>
              <w:top w:val="nil"/>
              <w:left w:val="nil"/>
              <w:bottom w:val="single" w:sz="4" w:space="0" w:color="auto"/>
              <w:right w:val="single" w:sz="4" w:space="0" w:color="auto"/>
            </w:tcBorders>
            <w:shd w:val="clear" w:color="auto" w:fill="auto"/>
            <w:noWrap/>
            <w:vAlign w:val="center"/>
            <w:hideMark/>
          </w:tcPr>
          <w:p w14:paraId="5D5B5663" w14:textId="77777777" w:rsidR="00091C8D" w:rsidRPr="006A4310" w:rsidRDefault="00091C8D" w:rsidP="006A4310">
            <w:pPr>
              <w:spacing w:after="0" w:line="240" w:lineRule="auto"/>
              <w:jc w:val="both"/>
              <w:rPr>
                <w:rFonts w:ascii="Times New Roman" w:eastAsia="Times New Roman" w:hAnsi="Times New Roman" w:cs="Times New Roman"/>
                <w:color w:val="auto"/>
                <w:sz w:val="20"/>
                <w:szCs w:val="20"/>
              </w:rPr>
            </w:pPr>
            <w:r w:rsidRPr="006A4310">
              <w:rPr>
                <w:rFonts w:ascii="Times New Roman" w:eastAsia="Times New Roman" w:hAnsi="Times New Roman" w:cs="Times New Roman"/>
                <w:color w:val="auto"/>
                <w:sz w:val="20"/>
                <w:szCs w:val="20"/>
              </w:rPr>
              <w:t>79%</w:t>
            </w:r>
          </w:p>
        </w:tc>
        <w:tc>
          <w:tcPr>
            <w:tcW w:w="1190" w:type="dxa"/>
            <w:tcBorders>
              <w:top w:val="nil"/>
              <w:left w:val="nil"/>
              <w:bottom w:val="single" w:sz="4" w:space="0" w:color="auto"/>
              <w:right w:val="single" w:sz="4" w:space="0" w:color="auto"/>
            </w:tcBorders>
            <w:shd w:val="clear" w:color="auto" w:fill="auto"/>
            <w:noWrap/>
            <w:vAlign w:val="center"/>
            <w:hideMark/>
          </w:tcPr>
          <w:p w14:paraId="140DFF44" w14:textId="77777777" w:rsidR="00091C8D" w:rsidRPr="006A4310" w:rsidRDefault="00091C8D" w:rsidP="006A4310">
            <w:pPr>
              <w:spacing w:after="0" w:line="240" w:lineRule="auto"/>
              <w:jc w:val="both"/>
              <w:rPr>
                <w:rFonts w:ascii="Times New Roman" w:eastAsia="Times New Roman" w:hAnsi="Times New Roman" w:cs="Times New Roman"/>
                <w:color w:val="auto"/>
                <w:sz w:val="20"/>
                <w:szCs w:val="20"/>
              </w:rPr>
            </w:pPr>
            <w:r w:rsidRPr="006A4310">
              <w:rPr>
                <w:rFonts w:ascii="Times New Roman" w:eastAsia="Times New Roman" w:hAnsi="Times New Roman" w:cs="Times New Roman"/>
                <w:color w:val="auto"/>
                <w:sz w:val="20"/>
                <w:szCs w:val="20"/>
              </w:rPr>
              <w:t>71,2%</w:t>
            </w:r>
          </w:p>
        </w:tc>
        <w:tc>
          <w:tcPr>
            <w:tcW w:w="586" w:type="dxa"/>
            <w:tcBorders>
              <w:top w:val="nil"/>
              <w:left w:val="nil"/>
              <w:bottom w:val="single" w:sz="4" w:space="0" w:color="auto"/>
              <w:right w:val="single" w:sz="4" w:space="0" w:color="auto"/>
            </w:tcBorders>
            <w:shd w:val="clear" w:color="auto" w:fill="auto"/>
            <w:noWrap/>
            <w:vAlign w:val="center"/>
            <w:hideMark/>
          </w:tcPr>
          <w:p w14:paraId="78068B5F" w14:textId="77777777" w:rsidR="00091C8D" w:rsidRPr="006A4310" w:rsidRDefault="00091C8D" w:rsidP="006A4310">
            <w:pPr>
              <w:spacing w:after="0" w:line="240" w:lineRule="auto"/>
              <w:jc w:val="both"/>
              <w:rPr>
                <w:rFonts w:ascii="Times New Roman" w:eastAsia="Times New Roman" w:hAnsi="Times New Roman" w:cs="Times New Roman"/>
                <w:color w:val="auto"/>
                <w:sz w:val="20"/>
                <w:szCs w:val="20"/>
              </w:rPr>
            </w:pPr>
            <w:r w:rsidRPr="006A4310">
              <w:rPr>
                <w:rFonts w:ascii="Times New Roman" w:eastAsia="Times New Roman" w:hAnsi="Times New Roman" w:cs="Times New Roman"/>
                <w:color w:val="auto"/>
                <w:sz w:val="20"/>
                <w:szCs w:val="20"/>
              </w:rPr>
              <w:t>91%</w:t>
            </w:r>
          </w:p>
        </w:tc>
        <w:tc>
          <w:tcPr>
            <w:tcW w:w="686" w:type="dxa"/>
            <w:tcBorders>
              <w:top w:val="nil"/>
              <w:left w:val="nil"/>
              <w:bottom w:val="single" w:sz="4" w:space="0" w:color="auto"/>
              <w:right w:val="single" w:sz="4" w:space="0" w:color="auto"/>
            </w:tcBorders>
            <w:shd w:val="clear" w:color="auto" w:fill="auto"/>
            <w:noWrap/>
            <w:vAlign w:val="center"/>
            <w:hideMark/>
          </w:tcPr>
          <w:p w14:paraId="2E1DBA24" w14:textId="77777777" w:rsidR="00091C8D" w:rsidRPr="006A4310" w:rsidRDefault="00091C8D" w:rsidP="006A4310">
            <w:pPr>
              <w:spacing w:after="0" w:line="240" w:lineRule="auto"/>
              <w:jc w:val="both"/>
              <w:rPr>
                <w:rFonts w:ascii="Times New Roman" w:eastAsia="Times New Roman" w:hAnsi="Times New Roman" w:cs="Times New Roman"/>
                <w:color w:val="auto"/>
                <w:sz w:val="20"/>
                <w:szCs w:val="20"/>
              </w:rPr>
            </w:pPr>
            <w:r w:rsidRPr="006A4310">
              <w:rPr>
                <w:rFonts w:ascii="Times New Roman" w:eastAsia="Times New Roman" w:hAnsi="Times New Roman" w:cs="Times New Roman"/>
                <w:color w:val="auto"/>
                <w:sz w:val="20"/>
                <w:szCs w:val="20"/>
              </w:rPr>
              <w:t>98,7%</w:t>
            </w:r>
          </w:p>
        </w:tc>
        <w:tc>
          <w:tcPr>
            <w:tcW w:w="1214" w:type="dxa"/>
            <w:tcBorders>
              <w:top w:val="nil"/>
              <w:left w:val="nil"/>
              <w:bottom w:val="single" w:sz="4" w:space="0" w:color="auto"/>
              <w:right w:val="single" w:sz="4" w:space="0" w:color="auto"/>
            </w:tcBorders>
            <w:shd w:val="clear" w:color="auto" w:fill="auto"/>
            <w:noWrap/>
            <w:vAlign w:val="center"/>
            <w:hideMark/>
          </w:tcPr>
          <w:p w14:paraId="457AD005" w14:textId="77777777" w:rsidR="00091C8D" w:rsidRPr="006A4310" w:rsidRDefault="00091C8D" w:rsidP="006A4310">
            <w:pPr>
              <w:spacing w:after="0" w:line="240" w:lineRule="auto"/>
              <w:jc w:val="both"/>
              <w:rPr>
                <w:rFonts w:ascii="Times New Roman" w:eastAsia="Times New Roman" w:hAnsi="Times New Roman" w:cs="Times New Roman"/>
                <w:color w:val="auto"/>
                <w:sz w:val="20"/>
                <w:szCs w:val="20"/>
              </w:rPr>
            </w:pPr>
            <w:r w:rsidRPr="006A4310">
              <w:rPr>
                <w:rFonts w:ascii="Times New Roman" w:eastAsia="Times New Roman" w:hAnsi="Times New Roman" w:cs="Times New Roman"/>
                <w:color w:val="auto"/>
                <w:sz w:val="20"/>
                <w:szCs w:val="20"/>
              </w:rPr>
              <w:t>99%</w:t>
            </w:r>
          </w:p>
        </w:tc>
        <w:tc>
          <w:tcPr>
            <w:tcW w:w="1260" w:type="dxa"/>
            <w:tcBorders>
              <w:top w:val="nil"/>
              <w:left w:val="nil"/>
              <w:bottom w:val="single" w:sz="4" w:space="0" w:color="auto"/>
              <w:right w:val="single" w:sz="4" w:space="0" w:color="auto"/>
            </w:tcBorders>
            <w:shd w:val="clear" w:color="auto" w:fill="auto"/>
            <w:noWrap/>
            <w:vAlign w:val="center"/>
            <w:hideMark/>
          </w:tcPr>
          <w:p w14:paraId="138B1A99" w14:textId="77777777" w:rsidR="00091C8D" w:rsidRPr="006A4310" w:rsidRDefault="00091C8D" w:rsidP="006A4310">
            <w:pPr>
              <w:spacing w:after="0" w:line="240" w:lineRule="auto"/>
              <w:jc w:val="both"/>
              <w:rPr>
                <w:rFonts w:ascii="Times New Roman" w:eastAsia="Times New Roman" w:hAnsi="Times New Roman" w:cs="Times New Roman"/>
                <w:color w:val="auto"/>
                <w:sz w:val="20"/>
                <w:szCs w:val="20"/>
              </w:rPr>
            </w:pPr>
            <w:r w:rsidRPr="006A4310">
              <w:rPr>
                <w:rFonts w:ascii="Times New Roman" w:eastAsia="Times New Roman" w:hAnsi="Times New Roman" w:cs="Times New Roman"/>
                <w:color w:val="auto"/>
                <w:sz w:val="20"/>
                <w:szCs w:val="20"/>
              </w:rPr>
              <w:t>96%</w:t>
            </w:r>
          </w:p>
        </w:tc>
      </w:tr>
      <w:tr w:rsidR="008D10D8" w:rsidRPr="006A4310" w14:paraId="05B0F683" w14:textId="77777777" w:rsidTr="2B8B3F1E">
        <w:trPr>
          <w:trHeight w:val="347"/>
        </w:trPr>
        <w:tc>
          <w:tcPr>
            <w:tcW w:w="1971" w:type="dxa"/>
            <w:tcBorders>
              <w:top w:val="nil"/>
              <w:left w:val="single" w:sz="4" w:space="0" w:color="auto"/>
              <w:bottom w:val="single" w:sz="4" w:space="0" w:color="auto"/>
              <w:right w:val="single" w:sz="4" w:space="0" w:color="auto"/>
            </w:tcBorders>
            <w:shd w:val="clear" w:color="auto" w:fill="auto"/>
            <w:noWrap/>
            <w:vAlign w:val="bottom"/>
            <w:hideMark/>
          </w:tcPr>
          <w:p w14:paraId="32E825C2" w14:textId="4990CB99" w:rsidR="00091C8D" w:rsidRPr="006A4310" w:rsidRDefault="00D53867" w:rsidP="006A4310">
            <w:pPr>
              <w:spacing w:after="0" w:line="240" w:lineRule="auto"/>
              <w:jc w:val="both"/>
              <w:rPr>
                <w:rFonts w:ascii="Times New Roman" w:eastAsia="Times New Roman" w:hAnsi="Times New Roman" w:cs="Times New Roman"/>
                <w:color w:val="auto"/>
                <w:sz w:val="20"/>
                <w:szCs w:val="20"/>
              </w:rPr>
            </w:pPr>
            <w:r w:rsidRPr="006A4310">
              <w:rPr>
                <w:rFonts w:ascii="Times New Roman" w:eastAsia="Times New Roman" w:hAnsi="Times New Roman" w:cs="Times New Roman"/>
                <w:color w:val="auto"/>
                <w:sz w:val="20"/>
                <w:szCs w:val="20"/>
              </w:rPr>
              <w:t>Rácio</w:t>
            </w:r>
            <w:r w:rsidR="00091C8D" w:rsidRPr="006A4310">
              <w:rPr>
                <w:rFonts w:ascii="Times New Roman" w:eastAsia="Times New Roman" w:hAnsi="Times New Roman" w:cs="Times New Roman"/>
                <w:color w:val="auto"/>
                <w:sz w:val="20"/>
                <w:szCs w:val="20"/>
              </w:rPr>
              <w:t xml:space="preserve"> aluno por professor</w:t>
            </w:r>
          </w:p>
        </w:tc>
        <w:tc>
          <w:tcPr>
            <w:tcW w:w="1235" w:type="dxa"/>
            <w:tcBorders>
              <w:top w:val="nil"/>
              <w:left w:val="nil"/>
              <w:bottom w:val="single" w:sz="4" w:space="0" w:color="auto"/>
              <w:right w:val="single" w:sz="4" w:space="0" w:color="auto"/>
            </w:tcBorders>
            <w:shd w:val="clear" w:color="auto" w:fill="auto"/>
            <w:noWrap/>
            <w:vAlign w:val="center"/>
            <w:hideMark/>
          </w:tcPr>
          <w:p w14:paraId="0EFD5321" w14:textId="77777777" w:rsidR="00091C8D" w:rsidRPr="006A4310" w:rsidRDefault="00091C8D" w:rsidP="006A4310">
            <w:pPr>
              <w:spacing w:after="0" w:line="240" w:lineRule="auto"/>
              <w:jc w:val="both"/>
              <w:rPr>
                <w:rFonts w:ascii="Times New Roman" w:eastAsia="Times New Roman" w:hAnsi="Times New Roman" w:cs="Times New Roman"/>
                <w:color w:val="auto"/>
                <w:sz w:val="20"/>
                <w:szCs w:val="20"/>
              </w:rPr>
            </w:pPr>
            <w:r w:rsidRPr="006A4310">
              <w:rPr>
                <w:rFonts w:ascii="Times New Roman" w:eastAsia="Times New Roman" w:hAnsi="Times New Roman" w:cs="Times New Roman"/>
                <w:color w:val="auto"/>
                <w:sz w:val="20"/>
                <w:szCs w:val="20"/>
              </w:rPr>
              <w:t xml:space="preserve">                   70 </w:t>
            </w:r>
          </w:p>
        </w:tc>
        <w:tc>
          <w:tcPr>
            <w:tcW w:w="1208" w:type="dxa"/>
            <w:tcBorders>
              <w:top w:val="nil"/>
              <w:left w:val="nil"/>
              <w:bottom w:val="single" w:sz="4" w:space="0" w:color="auto"/>
              <w:right w:val="single" w:sz="4" w:space="0" w:color="auto"/>
            </w:tcBorders>
            <w:shd w:val="clear" w:color="auto" w:fill="auto"/>
            <w:noWrap/>
            <w:vAlign w:val="center"/>
            <w:hideMark/>
          </w:tcPr>
          <w:p w14:paraId="276ACFB0" w14:textId="77777777" w:rsidR="00091C8D" w:rsidRPr="006A4310" w:rsidRDefault="00091C8D" w:rsidP="006A4310">
            <w:pPr>
              <w:spacing w:after="0" w:line="240" w:lineRule="auto"/>
              <w:jc w:val="both"/>
              <w:rPr>
                <w:rFonts w:ascii="Times New Roman" w:eastAsia="Times New Roman" w:hAnsi="Times New Roman" w:cs="Times New Roman"/>
                <w:color w:val="auto"/>
                <w:sz w:val="20"/>
                <w:szCs w:val="20"/>
              </w:rPr>
            </w:pPr>
            <w:r w:rsidRPr="006A4310">
              <w:rPr>
                <w:rFonts w:ascii="Times New Roman" w:eastAsia="Times New Roman" w:hAnsi="Times New Roman" w:cs="Times New Roman"/>
                <w:color w:val="auto"/>
                <w:sz w:val="20"/>
                <w:szCs w:val="20"/>
              </w:rPr>
              <w:t xml:space="preserve">                   67 </w:t>
            </w:r>
          </w:p>
        </w:tc>
        <w:tc>
          <w:tcPr>
            <w:tcW w:w="1190" w:type="dxa"/>
            <w:tcBorders>
              <w:top w:val="nil"/>
              <w:left w:val="nil"/>
              <w:bottom w:val="single" w:sz="4" w:space="0" w:color="auto"/>
              <w:right w:val="single" w:sz="4" w:space="0" w:color="auto"/>
            </w:tcBorders>
            <w:shd w:val="clear" w:color="auto" w:fill="auto"/>
            <w:noWrap/>
            <w:vAlign w:val="center"/>
            <w:hideMark/>
          </w:tcPr>
          <w:p w14:paraId="47AE5D57" w14:textId="77777777" w:rsidR="00091C8D" w:rsidRPr="006A4310" w:rsidRDefault="00091C8D" w:rsidP="006A4310">
            <w:pPr>
              <w:spacing w:after="0" w:line="240" w:lineRule="auto"/>
              <w:jc w:val="both"/>
              <w:rPr>
                <w:rFonts w:ascii="Times New Roman" w:eastAsia="Times New Roman" w:hAnsi="Times New Roman" w:cs="Times New Roman"/>
                <w:color w:val="auto"/>
                <w:sz w:val="20"/>
                <w:szCs w:val="20"/>
              </w:rPr>
            </w:pPr>
            <w:r w:rsidRPr="006A4310">
              <w:rPr>
                <w:rFonts w:ascii="Times New Roman" w:eastAsia="Times New Roman" w:hAnsi="Times New Roman" w:cs="Times New Roman"/>
                <w:color w:val="auto"/>
                <w:sz w:val="20"/>
                <w:szCs w:val="20"/>
              </w:rPr>
              <w:t xml:space="preserve">                   65 </w:t>
            </w:r>
          </w:p>
        </w:tc>
        <w:tc>
          <w:tcPr>
            <w:tcW w:w="586" w:type="dxa"/>
            <w:tcBorders>
              <w:top w:val="nil"/>
              <w:left w:val="nil"/>
              <w:bottom w:val="single" w:sz="4" w:space="0" w:color="auto"/>
              <w:right w:val="single" w:sz="4" w:space="0" w:color="auto"/>
            </w:tcBorders>
            <w:shd w:val="clear" w:color="auto" w:fill="auto"/>
            <w:noWrap/>
            <w:vAlign w:val="center"/>
            <w:hideMark/>
          </w:tcPr>
          <w:p w14:paraId="073FBA9C" w14:textId="77777777" w:rsidR="00091C8D" w:rsidRPr="006A4310" w:rsidRDefault="00091C8D" w:rsidP="006A4310">
            <w:pPr>
              <w:spacing w:after="0" w:line="240" w:lineRule="auto"/>
              <w:jc w:val="both"/>
              <w:rPr>
                <w:rFonts w:ascii="Times New Roman" w:eastAsia="Times New Roman" w:hAnsi="Times New Roman" w:cs="Times New Roman"/>
                <w:color w:val="auto"/>
                <w:sz w:val="20"/>
                <w:szCs w:val="20"/>
              </w:rPr>
            </w:pPr>
            <w:r w:rsidRPr="006A4310">
              <w:rPr>
                <w:rFonts w:ascii="Times New Roman" w:eastAsia="Times New Roman" w:hAnsi="Times New Roman" w:cs="Times New Roman"/>
                <w:color w:val="auto"/>
                <w:sz w:val="20"/>
                <w:szCs w:val="20"/>
              </w:rPr>
              <w:t xml:space="preserve">                 65 </w:t>
            </w:r>
          </w:p>
        </w:tc>
        <w:tc>
          <w:tcPr>
            <w:tcW w:w="686" w:type="dxa"/>
            <w:tcBorders>
              <w:top w:val="nil"/>
              <w:left w:val="nil"/>
              <w:bottom w:val="single" w:sz="4" w:space="0" w:color="auto"/>
              <w:right w:val="single" w:sz="4" w:space="0" w:color="auto"/>
            </w:tcBorders>
            <w:shd w:val="clear" w:color="auto" w:fill="auto"/>
            <w:noWrap/>
            <w:vAlign w:val="center"/>
            <w:hideMark/>
          </w:tcPr>
          <w:p w14:paraId="32E6AAA5" w14:textId="77777777" w:rsidR="00091C8D" w:rsidRPr="006A4310" w:rsidRDefault="00091C8D" w:rsidP="006A4310">
            <w:pPr>
              <w:spacing w:after="0" w:line="240" w:lineRule="auto"/>
              <w:jc w:val="both"/>
              <w:rPr>
                <w:rFonts w:ascii="Times New Roman" w:eastAsia="Times New Roman" w:hAnsi="Times New Roman" w:cs="Times New Roman"/>
                <w:color w:val="auto"/>
                <w:sz w:val="20"/>
                <w:szCs w:val="20"/>
              </w:rPr>
            </w:pPr>
            <w:r w:rsidRPr="006A4310">
              <w:rPr>
                <w:rFonts w:ascii="Times New Roman" w:eastAsia="Times New Roman" w:hAnsi="Times New Roman" w:cs="Times New Roman"/>
                <w:color w:val="auto"/>
                <w:sz w:val="20"/>
                <w:szCs w:val="20"/>
              </w:rPr>
              <w:t xml:space="preserve">                51 </w:t>
            </w:r>
          </w:p>
        </w:tc>
        <w:tc>
          <w:tcPr>
            <w:tcW w:w="1214" w:type="dxa"/>
            <w:tcBorders>
              <w:top w:val="nil"/>
              <w:left w:val="nil"/>
              <w:bottom w:val="single" w:sz="4" w:space="0" w:color="auto"/>
              <w:right w:val="single" w:sz="4" w:space="0" w:color="auto"/>
            </w:tcBorders>
            <w:shd w:val="clear" w:color="auto" w:fill="auto"/>
            <w:noWrap/>
            <w:vAlign w:val="center"/>
            <w:hideMark/>
          </w:tcPr>
          <w:p w14:paraId="562D49B7" w14:textId="77777777" w:rsidR="00091C8D" w:rsidRPr="006A4310" w:rsidRDefault="00091C8D" w:rsidP="006A4310">
            <w:pPr>
              <w:spacing w:after="0" w:line="240" w:lineRule="auto"/>
              <w:jc w:val="both"/>
              <w:rPr>
                <w:rFonts w:ascii="Times New Roman" w:eastAsia="Times New Roman" w:hAnsi="Times New Roman" w:cs="Times New Roman"/>
                <w:color w:val="auto"/>
                <w:sz w:val="20"/>
                <w:szCs w:val="20"/>
              </w:rPr>
            </w:pPr>
            <w:r w:rsidRPr="006A4310">
              <w:rPr>
                <w:rFonts w:ascii="Times New Roman" w:eastAsia="Times New Roman" w:hAnsi="Times New Roman" w:cs="Times New Roman"/>
                <w:color w:val="auto"/>
                <w:sz w:val="20"/>
                <w:szCs w:val="20"/>
              </w:rPr>
              <w:t xml:space="preserve">                   66 </w:t>
            </w:r>
          </w:p>
        </w:tc>
        <w:tc>
          <w:tcPr>
            <w:tcW w:w="1260" w:type="dxa"/>
            <w:tcBorders>
              <w:top w:val="nil"/>
              <w:left w:val="nil"/>
              <w:bottom w:val="single" w:sz="4" w:space="0" w:color="auto"/>
              <w:right w:val="single" w:sz="4" w:space="0" w:color="auto"/>
            </w:tcBorders>
            <w:shd w:val="clear" w:color="auto" w:fill="auto"/>
            <w:noWrap/>
            <w:vAlign w:val="center"/>
            <w:hideMark/>
          </w:tcPr>
          <w:p w14:paraId="2271E027" w14:textId="77777777" w:rsidR="00091C8D" w:rsidRPr="006A4310" w:rsidRDefault="00091C8D" w:rsidP="006A4310">
            <w:pPr>
              <w:spacing w:after="0" w:line="240" w:lineRule="auto"/>
              <w:jc w:val="both"/>
              <w:rPr>
                <w:rFonts w:ascii="Times New Roman" w:eastAsia="Times New Roman" w:hAnsi="Times New Roman" w:cs="Times New Roman"/>
                <w:color w:val="auto"/>
                <w:sz w:val="20"/>
                <w:szCs w:val="20"/>
              </w:rPr>
            </w:pPr>
            <w:r w:rsidRPr="006A4310">
              <w:rPr>
                <w:rFonts w:ascii="Times New Roman" w:eastAsia="Times New Roman" w:hAnsi="Times New Roman" w:cs="Times New Roman"/>
                <w:color w:val="auto"/>
                <w:sz w:val="20"/>
                <w:szCs w:val="20"/>
              </w:rPr>
              <w:t xml:space="preserve">                      60 </w:t>
            </w:r>
          </w:p>
        </w:tc>
      </w:tr>
      <w:tr w:rsidR="008D10D8" w:rsidRPr="006A4310" w14:paraId="5EBF1651" w14:textId="77777777" w:rsidTr="2B8B3F1E">
        <w:trPr>
          <w:trHeight w:val="347"/>
        </w:trPr>
        <w:tc>
          <w:tcPr>
            <w:tcW w:w="1971" w:type="dxa"/>
            <w:tcBorders>
              <w:top w:val="nil"/>
              <w:left w:val="single" w:sz="4" w:space="0" w:color="auto"/>
              <w:bottom w:val="single" w:sz="4" w:space="0" w:color="auto"/>
              <w:right w:val="single" w:sz="4" w:space="0" w:color="auto"/>
            </w:tcBorders>
            <w:shd w:val="clear" w:color="auto" w:fill="auto"/>
            <w:noWrap/>
            <w:vAlign w:val="bottom"/>
            <w:hideMark/>
          </w:tcPr>
          <w:p w14:paraId="70EDB7DC" w14:textId="61BF2B3A" w:rsidR="00091C8D" w:rsidRPr="006A4310" w:rsidRDefault="00091C8D" w:rsidP="006A4310">
            <w:pPr>
              <w:spacing w:after="0" w:line="240" w:lineRule="auto"/>
              <w:jc w:val="both"/>
              <w:rPr>
                <w:rFonts w:ascii="Times New Roman" w:eastAsia="Times New Roman" w:hAnsi="Times New Roman" w:cs="Times New Roman"/>
                <w:color w:val="auto"/>
                <w:sz w:val="20"/>
                <w:szCs w:val="20"/>
              </w:rPr>
            </w:pPr>
            <w:r w:rsidRPr="006A4310">
              <w:rPr>
                <w:rFonts w:ascii="Times New Roman" w:eastAsia="Times New Roman" w:hAnsi="Times New Roman" w:cs="Times New Roman"/>
                <w:color w:val="auto"/>
                <w:sz w:val="20"/>
                <w:szCs w:val="20"/>
              </w:rPr>
              <w:t xml:space="preserve">Número de livros </w:t>
            </w:r>
            <w:r w:rsidR="00D53867" w:rsidRPr="006A4310">
              <w:rPr>
                <w:rFonts w:ascii="Times New Roman" w:eastAsia="Times New Roman" w:hAnsi="Times New Roman" w:cs="Times New Roman"/>
                <w:color w:val="auto"/>
                <w:sz w:val="20"/>
                <w:szCs w:val="20"/>
              </w:rPr>
              <w:t>distribuídos</w:t>
            </w:r>
          </w:p>
        </w:tc>
        <w:tc>
          <w:tcPr>
            <w:tcW w:w="1235" w:type="dxa"/>
            <w:tcBorders>
              <w:top w:val="nil"/>
              <w:left w:val="nil"/>
              <w:bottom w:val="single" w:sz="4" w:space="0" w:color="auto"/>
              <w:right w:val="single" w:sz="4" w:space="0" w:color="auto"/>
            </w:tcBorders>
            <w:shd w:val="clear" w:color="auto" w:fill="auto"/>
            <w:noWrap/>
            <w:vAlign w:val="center"/>
            <w:hideMark/>
          </w:tcPr>
          <w:p w14:paraId="6AB35C92" w14:textId="77777777" w:rsidR="00091C8D" w:rsidRPr="006A4310" w:rsidRDefault="00091C8D" w:rsidP="006A4310">
            <w:pPr>
              <w:spacing w:after="0" w:line="240" w:lineRule="auto"/>
              <w:jc w:val="both"/>
              <w:rPr>
                <w:rFonts w:ascii="Times New Roman" w:eastAsia="Times New Roman" w:hAnsi="Times New Roman" w:cs="Times New Roman"/>
                <w:color w:val="auto"/>
                <w:sz w:val="20"/>
                <w:szCs w:val="20"/>
              </w:rPr>
            </w:pPr>
            <w:r w:rsidRPr="006A4310">
              <w:rPr>
                <w:rFonts w:ascii="Times New Roman" w:eastAsia="Times New Roman" w:hAnsi="Times New Roman" w:cs="Times New Roman"/>
                <w:color w:val="auto"/>
                <w:sz w:val="20"/>
                <w:szCs w:val="20"/>
              </w:rPr>
              <w:t xml:space="preserve">   15.344.443 </w:t>
            </w:r>
          </w:p>
        </w:tc>
        <w:tc>
          <w:tcPr>
            <w:tcW w:w="1208" w:type="dxa"/>
            <w:tcBorders>
              <w:top w:val="nil"/>
              <w:left w:val="nil"/>
              <w:bottom w:val="single" w:sz="4" w:space="0" w:color="auto"/>
              <w:right w:val="single" w:sz="4" w:space="0" w:color="auto"/>
            </w:tcBorders>
            <w:shd w:val="clear" w:color="auto" w:fill="auto"/>
            <w:noWrap/>
            <w:vAlign w:val="center"/>
            <w:hideMark/>
          </w:tcPr>
          <w:p w14:paraId="7DF32B5F" w14:textId="77777777" w:rsidR="00091C8D" w:rsidRPr="006A4310" w:rsidRDefault="00091C8D" w:rsidP="006A4310">
            <w:pPr>
              <w:spacing w:after="0" w:line="240" w:lineRule="auto"/>
              <w:jc w:val="both"/>
              <w:rPr>
                <w:rFonts w:ascii="Times New Roman" w:eastAsia="Times New Roman" w:hAnsi="Times New Roman" w:cs="Times New Roman"/>
                <w:color w:val="auto"/>
                <w:sz w:val="20"/>
                <w:szCs w:val="20"/>
              </w:rPr>
            </w:pPr>
            <w:r w:rsidRPr="006A4310">
              <w:rPr>
                <w:rFonts w:ascii="Times New Roman" w:eastAsia="Times New Roman" w:hAnsi="Times New Roman" w:cs="Times New Roman"/>
                <w:color w:val="auto"/>
                <w:sz w:val="20"/>
                <w:szCs w:val="20"/>
              </w:rPr>
              <w:t xml:space="preserve">   21.718.710 </w:t>
            </w:r>
          </w:p>
        </w:tc>
        <w:tc>
          <w:tcPr>
            <w:tcW w:w="1190" w:type="dxa"/>
            <w:tcBorders>
              <w:top w:val="nil"/>
              <w:left w:val="nil"/>
              <w:bottom w:val="single" w:sz="4" w:space="0" w:color="auto"/>
              <w:right w:val="single" w:sz="4" w:space="0" w:color="auto"/>
            </w:tcBorders>
            <w:shd w:val="clear" w:color="auto" w:fill="auto"/>
            <w:noWrap/>
            <w:vAlign w:val="center"/>
            <w:hideMark/>
          </w:tcPr>
          <w:p w14:paraId="74D3CFA6" w14:textId="77777777" w:rsidR="00091C8D" w:rsidRPr="006A4310" w:rsidRDefault="00091C8D" w:rsidP="006A4310">
            <w:pPr>
              <w:spacing w:after="0" w:line="240" w:lineRule="auto"/>
              <w:jc w:val="both"/>
              <w:rPr>
                <w:rFonts w:ascii="Times New Roman" w:eastAsia="Times New Roman" w:hAnsi="Times New Roman" w:cs="Times New Roman"/>
                <w:color w:val="auto"/>
                <w:sz w:val="20"/>
                <w:szCs w:val="20"/>
              </w:rPr>
            </w:pPr>
            <w:r w:rsidRPr="006A4310">
              <w:rPr>
                <w:rFonts w:ascii="Times New Roman" w:eastAsia="Times New Roman" w:hAnsi="Times New Roman" w:cs="Times New Roman"/>
                <w:color w:val="auto"/>
                <w:sz w:val="20"/>
                <w:szCs w:val="20"/>
              </w:rPr>
              <w:t xml:space="preserve">   20.396.325 </w:t>
            </w:r>
          </w:p>
        </w:tc>
        <w:tc>
          <w:tcPr>
            <w:tcW w:w="586" w:type="dxa"/>
            <w:tcBorders>
              <w:top w:val="nil"/>
              <w:left w:val="nil"/>
              <w:bottom w:val="single" w:sz="4" w:space="0" w:color="auto"/>
              <w:right w:val="single" w:sz="4" w:space="0" w:color="auto"/>
            </w:tcBorders>
            <w:shd w:val="clear" w:color="auto" w:fill="auto"/>
            <w:noWrap/>
            <w:vAlign w:val="center"/>
            <w:hideMark/>
          </w:tcPr>
          <w:p w14:paraId="7CD2021F" w14:textId="77777777" w:rsidR="00091C8D" w:rsidRPr="006A4310" w:rsidRDefault="00091C8D" w:rsidP="006A4310">
            <w:pPr>
              <w:spacing w:after="0" w:line="240" w:lineRule="auto"/>
              <w:jc w:val="both"/>
              <w:rPr>
                <w:rFonts w:ascii="Times New Roman" w:eastAsia="Times New Roman" w:hAnsi="Times New Roman" w:cs="Times New Roman"/>
                <w:color w:val="auto"/>
                <w:sz w:val="20"/>
                <w:szCs w:val="20"/>
              </w:rPr>
            </w:pPr>
            <w:r w:rsidRPr="006A4310">
              <w:rPr>
                <w:rFonts w:ascii="Times New Roman" w:eastAsia="Times New Roman" w:hAnsi="Times New Roman" w:cs="Times New Roman"/>
                <w:color w:val="auto"/>
                <w:sz w:val="20"/>
                <w:szCs w:val="20"/>
              </w:rPr>
              <w:t xml:space="preserve"> ND </w:t>
            </w:r>
          </w:p>
        </w:tc>
        <w:tc>
          <w:tcPr>
            <w:tcW w:w="686" w:type="dxa"/>
            <w:tcBorders>
              <w:top w:val="nil"/>
              <w:left w:val="nil"/>
              <w:bottom w:val="single" w:sz="4" w:space="0" w:color="auto"/>
              <w:right w:val="single" w:sz="4" w:space="0" w:color="auto"/>
            </w:tcBorders>
            <w:shd w:val="clear" w:color="auto" w:fill="auto"/>
            <w:noWrap/>
            <w:vAlign w:val="center"/>
            <w:hideMark/>
          </w:tcPr>
          <w:p w14:paraId="1FA851FB" w14:textId="77777777" w:rsidR="00091C8D" w:rsidRPr="006A4310" w:rsidRDefault="00091C8D" w:rsidP="006A4310">
            <w:pPr>
              <w:spacing w:after="0" w:line="240" w:lineRule="auto"/>
              <w:jc w:val="both"/>
              <w:rPr>
                <w:rFonts w:ascii="Times New Roman" w:eastAsia="Times New Roman" w:hAnsi="Times New Roman" w:cs="Times New Roman"/>
                <w:color w:val="auto"/>
                <w:sz w:val="20"/>
                <w:szCs w:val="20"/>
              </w:rPr>
            </w:pPr>
            <w:r w:rsidRPr="006A4310">
              <w:rPr>
                <w:rFonts w:ascii="Times New Roman" w:eastAsia="Times New Roman" w:hAnsi="Times New Roman" w:cs="Times New Roman"/>
                <w:color w:val="auto"/>
                <w:sz w:val="20"/>
                <w:szCs w:val="20"/>
              </w:rPr>
              <w:t xml:space="preserve"> ND </w:t>
            </w:r>
          </w:p>
        </w:tc>
        <w:tc>
          <w:tcPr>
            <w:tcW w:w="1214" w:type="dxa"/>
            <w:tcBorders>
              <w:top w:val="nil"/>
              <w:left w:val="nil"/>
              <w:bottom w:val="single" w:sz="4" w:space="0" w:color="auto"/>
              <w:right w:val="single" w:sz="4" w:space="0" w:color="auto"/>
            </w:tcBorders>
            <w:shd w:val="clear" w:color="auto" w:fill="auto"/>
            <w:noWrap/>
            <w:vAlign w:val="center"/>
            <w:hideMark/>
          </w:tcPr>
          <w:p w14:paraId="175DC142" w14:textId="77777777" w:rsidR="00091C8D" w:rsidRPr="006A4310" w:rsidRDefault="00091C8D" w:rsidP="006A4310">
            <w:pPr>
              <w:spacing w:after="0" w:line="240" w:lineRule="auto"/>
              <w:jc w:val="both"/>
              <w:rPr>
                <w:rFonts w:ascii="Times New Roman" w:eastAsia="Times New Roman" w:hAnsi="Times New Roman" w:cs="Times New Roman"/>
                <w:color w:val="auto"/>
                <w:sz w:val="20"/>
                <w:szCs w:val="20"/>
              </w:rPr>
            </w:pPr>
            <w:r w:rsidRPr="006A4310">
              <w:rPr>
                <w:rFonts w:ascii="Times New Roman" w:eastAsia="Times New Roman" w:hAnsi="Times New Roman" w:cs="Times New Roman"/>
                <w:color w:val="auto"/>
                <w:sz w:val="20"/>
                <w:szCs w:val="20"/>
              </w:rPr>
              <w:t xml:space="preserve">   22.491.500 </w:t>
            </w:r>
          </w:p>
        </w:tc>
        <w:tc>
          <w:tcPr>
            <w:tcW w:w="1260" w:type="dxa"/>
            <w:tcBorders>
              <w:top w:val="nil"/>
              <w:left w:val="nil"/>
              <w:bottom w:val="single" w:sz="4" w:space="0" w:color="auto"/>
              <w:right w:val="single" w:sz="4" w:space="0" w:color="auto"/>
            </w:tcBorders>
            <w:shd w:val="clear" w:color="auto" w:fill="auto"/>
            <w:noWrap/>
            <w:vAlign w:val="center"/>
            <w:hideMark/>
          </w:tcPr>
          <w:p w14:paraId="02CBC7DD" w14:textId="77777777" w:rsidR="00091C8D" w:rsidRPr="006A4310" w:rsidRDefault="00091C8D" w:rsidP="006A4310">
            <w:pPr>
              <w:spacing w:after="0" w:line="240" w:lineRule="auto"/>
              <w:jc w:val="both"/>
              <w:rPr>
                <w:rFonts w:ascii="Times New Roman" w:eastAsia="Times New Roman" w:hAnsi="Times New Roman" w:cs="Times New Roman"/>
                <w:color w:val="auto"/>
                <w:sz w:val="20"/>
                <w:szCs w:val="20"/>
              </w:rPr>
            </w:pPr>
            <w:r w:rsidRPr="006A4310">
              <w:rPr>
                <w:rFonts w:ascii="Times New Roman" w:eastAsia="Times New Roman" w:hAnsi="Times New Roman" w:cs="Times New Roman"/>
                <w:color w:val="auto"/>
                <w:sz w:val="20"/>
                <w:szCs w:val="20"/>
              </w:rPr>
              <w:t xml:space="preserve">   101.718.710 </w:t>
            </w:r>
          </w:p>
        </w:tc>
      </w:tr>
      <w:tr w:rsidR="008D10D8" w:rsidRPr="006A4310" w14:paraId="1C19D667" w14:textId="77777777" w:rsidTr="2B8B3F1E">
        <w:trPr>
          <w:trHeight w:val="347"/>
        </w:trPr>
        <w:tc>
          <w:tcPr>
            <w:tcW w:w="1971" w:type="dxa"/>
            <w:tcBorders>
              <w:top w:val="nil"/>
              <w:left w:val="single" w:sz="4" w:space="0" w:color="auto"/>
              <w:bottom w:val="single" w:sz="4" w:space="0" w:color="auto"/>
              <w:right w:val="single" w:sz="4" w:space="0" w:color="auto"/>
            </w:tcBorders>
            <w:shd w:val="clear" w:color="auto" w:fill="auto"/>
            <w:noWrap/>
            <w:vAlign w:val="bottom"/>
            <w:hideMark/>
          </w:tcPr>
          <w:p w14:paraId="63C801A2" w14:textId="77777777" w:rsidR="00091C8D" w:rsidRPr="006A4310" w:rsidRDefault="00091C8D" w:rsidP="006A4310">
            <w:pPr>
              <w:spacing w:after="0" w:line="240" w:lineRule="auto"/>
              <w:jc w:val="both"/>
              <w:rPr>
                <w:rFonts w:ascii="Times New Roman" w:eastAsia="Times New Roman" w:hAnsi="Times New Roman" w:cs="Times New Roman"/>
                <w:color w:val="auto"/>
                <w:sz w:val="20"/>
                <w:szCs w:val="20"/>
              </w:rPr>
            </w:pPr>
            <w:r w:rsidRPr="006A4310">
              <w:rPr>
                <w:rFonts w:ascii="Times New Roman" w:eastAsia="Times New Roman" w:hAnsi="Times New Roman" w:cs="Times New Roman"/>
                <w:color w:val="auto"/>
                <w:sz w:val="20"/>
                <w:szCs w:val="20"/>
              </w:rPr>
              <w:t>Número de carteiras escolares distribuidas</w:t>
            </w:r>
          </w:p>
        </w:tc>
        <w:tc>
          <w:tcPr>
            <w:tcW w:w="1235" w:type="dxa"/>
            <w:tcBorders>
              <w:top w:val="nil"/>
              <w:left w:val="nil"/>
              <w:bottom w:val="single" w:sz="4" w:space="0" w:color="auto"/>
              <w:right w:val="single" w:sz="4" w:space="0" w:color="auto"/>
            </w:tcBorders>
            <w:shd w:val="clear" w:color="auto" w:fill="auto"/>
            <w:noWrap/>
            <w:vAlign w:val="center"/>
            <w:hideMark/>
          </w:tcPr>
          <w:p w14:paraId="0AF39D64" w14:textId="77777777" w:rsidR="00091C8D" w:rsidRPr="006A4310" w:rsidRDefault="00091C8D" w:rsidP="006A4310">
            <w:pPr>
              <w:spacing w:after="0" w:line="240" w:lineRule="auto"/>
              <w:jc w:val="both"/>
              <w:rPr>
                <w:rFonts w:ascii="Times New Roman" w:eastAsia="Times New Roman" w:hAnsi="Times New Roman" w:cs="Times New Roman"/>
                <w:color w:val="auto"/>
                <w:sz w:val="20"/>
                <w:szCs w:val="20"/>
              </w:rPr>
            </w:pPr>
            <w:r w:rsidRPr="006A4310">
              <w:rPr>
                <w:rFonts w:ascii="Times New Roman" w:eastAsia="Times New Roman" w:hAnsi="Times New Roman" w:cs="Times New Roman"/>
                <w:color w:val="auto"/>
                <w:sz w:val="20"/>
                <w:szCs w:val="20"/>
              </w:rPr>
              <w:t xml:space="preserve">         268.927 </w:t>
            </w:r>
          </w:p>
        </w:tc>
        <w:tc>
          <w:tcPr>
            <w:tcW w:w="1208" w:type="dxa"/>
            <w:tcBorders>
              <w:top w:val="nil"/>
              <w:left w:val="nil"/>
              <w:bottom w:val="single" w:sz="4" w:space="0" w:color="auto"/>
              <w:right w:val="single" w:sz="4" w:space="0" w:color="auto"/>
            </w:tcBorders>
            <w:shd w:val="clear" w:color="auto" w:fill="auto"/>
            <w:noWrap/>
            <w:vAlign w:val="center"/>
            <w:hideMark/>
          </w:tcPr>
          <w:p w14:paraId="3EE9AA45" w14:textId="77777777" w:rsidR="00091C8D" w:rsidRPr="006A4310" w:rsidRDefault="00091C8D" w:rsidP="006A4310">
            <w:pPr>
              <w:spacing w:after="0" w:line="240" w:lineRule="auto"/>
              <w:jc w:val="both"/>
              <w:rPr>
                <w:rFonts w:ascii="Times New Roman" w:eastAsia="Times New Roman" w:hAnsi="Times New Roman" w:cs="Times New Roman"/>
                <w:color w:val="auto"/>
                <w:sz w:val="20"/>
                <w:szCs w:val="20"/>
              </w:rPr>
            </w:pPr>
            <w:r w:rsidRPr="006A4310">
              <w:rPr>
                <w:rFonts w:ascii="Times New Roman" w:eastAsia="Times New Roman" w:hAnsi="Times New Roman" w:cs="Times New Roman"/>
                <w:color w:val="auto"/>
                <w:sz w:val="20"/>
                <w:szCs w:val="20"/>
              </w:rPr>
              <w:t xml:space="preserve">           23.757 </w:t>
            </w:r>
          </w:p>
        </w:tc>
        <w:tc>
          <w:tcPr>
            <w:tcW w:w="1190" w:type="dxa"/>
            <w:tcBorders>
              <w:top w:val="nil"/>
              <w:left w:val="nil"/>
              <w:bottom w:val="single" w:sz="4" w:space="0" w:color="auto"/>
              <w:right w:val="single" w:sz="4" w:space="0" w:color="auto"/>
            </w:tcBorders>
            <w:shd w:val="clear" w:color="auto" w:fill="auto"/>
            <w:noWrap/>
            <w:vAlign w:val="center"/>
            <w:hideMark/>
          </w:tcPr>
          <w:p w14:paraId="2535E199" w14:textId="77777777" w:rsidR="00091C8D" w:rsidRPr="006A4310" w:rsidRDefault="00091C8D" w:rsidP="006A4310">
            <w:pPr>
              <w:spacing w:after="0" w:line="240" w:lineRule="auto"/>
              <w:jc w:val="both"/>
              <w:rPr>
                <w:rFonts w:ascii="Times New Roman" w:eastAsia="Times New Roman" w:hAnsi="Times New Roman" w:cs="Times New Roman"/>
                <w:color w:val="auto"/>
                <w:sz w:val="20"/>
                <w:szCs w:val="20"/>
              </w:rPr>
            </w:pPr>
            <w:r w:rsidRPr="006A4310">
              <w:rPr>
                <w:rFonts w:ascii="Times New Roman" w:eastAsia="Times New Roman" w:hAnsi="Times New Roman" w:cs="Times New Roman"/>
                <w:color w:val="auto"/>
                <w:sz w:val="20"/>
                <w:szCs w:val="20"/>
              </w:rPr>
              <w:t xml:space="preserve">           30.997 </w:t>
            </w:r>
          </w:p>
        </w:tc>
        <w:tc>
          <w:tcPr>
            <w:tcW w:w="586" w:type="dxa"/>
            <w:tcBorders>
              <w:top w:val="nil"/>
              <w:left w:val="nil"/>
              <w:bottom w:val="single" w:sz="4" w:space="0" w:color="auto"/>
              <w:right w:val="single" w:sz="4" w:space="0" w:color="auto"/>
            </w:tcBorders>
            <w:shd w:val="clear" w:color="auto" w:fill="auto"/>
            <w:noWrap/>
            <w:vAlign w:val="center"/>
            <w:hideMark/>
          </w:tcPr>
          <w:p w14:paraId="1F1C7DD4" w14:textId="77777777" w:rsidR="00091C8D" w:rsidRPr="006A4310" w:rsidRDefault="00091C8D" w:rsidP="006A4310">
            <w:pPr>
              <w:spacing w:after="0" w:line="240" w:lineRule="auto"/>
              <w:jc w:val="both"/>
              <w:rPr>
                <w:rFonts w:ascii="Times New Roman" w:eastAsia="Times New Roman" w:hAnsi="Times New Roman" w:cs="Times New Roman"/>
                <w:color w:val="auto"/>
                <w:sz w:val="20"/>
                <w:szCs w:val="20"/>
              </w:rPr>
            </w:pPr>
            <w:r w:rsidRPr="006A4310">
              <w:rPr>
                <w:rFonts w:ascii="Times New Roman" w:eastAsia="Times New Roman" w:hAnsi="Times New Roman" w:cs="Times New Roman"/>
                <w:color w:val="auto"/>
                <w:sz w:val="20"/>
                <w:szCs w:val="20"/>
              </w:rPr>
              <w:t xml:space="preserve"> ND </w:t>
            </w:r>
          </w:p>
        </w:tc>
        <w:tc>
          <w:tcPr>
            <w:tcW w:w="686" w:type="dxa"/>
            <w:tcBorders>
              <w:top w:val="nil"/>
              <w:left w:val="nil"/>
              <w:bottom w:val="single" w:sz="4" w:space="0" w:color="auto"/>
              <w:right w:val="single" w:sz="4" w:space="0" w:color="auto"/>
            </w:tcBorders>
            <w:shd w:val="clear" w:color="auto" w:fill="auto"/>
            <w:noWrap/>
            <w:vAlign w:val="center"/>
            <w:hideMark/>
          </w:tcPr>
          <w:p w14:paraId="2314004A" w14:textId="77777777" w:rsidR="00091C8D" w:rsidRPr="006A4310" w:rsidRDefault="256A3A4E" w:rsidP="006A4310">
            <w:pPr>
              <w:spacing w:after="0" w:line="240" w:lineRule="auto"/>
              <w:jc w:val="both"/>
              <w:rPr>
                <w:rFonts w:ascii="Times New Roman" w:eastAsia="Times New Roman" w:hAnsi="Times New Roman" w:cs="Times New Roman"/>
                <w:color w:val="auto"/>
                <w:sz w:val="20"/>
                <w:szCs w:val="20"/>
              </w:rPr>
            </w:pPr>
            <w:r w:rsidRPr="006A4310">
              <w:rPr>
                <w:rFonts w:ascii="Times New Roman" w:eastAsia="Times New Roman" w:hAnsi="Times New Roman" w:cs="Times New Roman"/>
                <w:color w:val="auto"/>
                <w:sz w:val="20"/>
                <w:szCs w:val="20"/>
              </w:rPr>
              <w:t xml:space="preserve"> ND </w:t>
            </w:r>
          </w:p>
        </w:tc>
        <w:tc>
          <w:tcPr>
            <w:tcW w:w="1214" w:type="dxa"/>
            <w:tcBorders>
              <w:top w:val="nil"/>
              <w:left w:val="nil"/>
              <w:bottom w:val="single" w:sz="4" w:space="0" w:color="auto"/>
              <w:right w:val="single" w:sz="4" w:space="0" w:color="auto"/>
            </w:tcBorders>
            <w:shd w:val="clear" w:color="auto" w:fill="auto"/>
            <w:noWrap/>
            <w:vAlign w:val="center"/>
            <w:hideMark/>
          </w:tcPr>
          <w:p w14:paraId="515BDB4B" w14:textId="77777777" w:rsidR="00091C8D" w:rsidRPr="006A4310" w:rsidRDefault="00091C8D" w:rsidP="006A4310">
            <w:pPr>
              <w:spacing w:after="0" w:line="240" w:lineRule="auto"/>
              <w:jc w:val="both"/>
              <w:rPr>
                <w:rFonts w:ascii="Times New Roman" w:eastAsia="Times New Roman" w:hAnsi="Times New Roman" w:cs="Times New Roman"/>
                <w:color w:val="auto"/>
                <w:sz w:val="20"/>
                <w:szCs w:val="20"/>
              </w:rPr>
            </w:pPr>
            <w:r w:rsidRPr="006A4310">
              <w:rPr>
                <w:rFonts w:ascii="Times New Roman" w:eastAsia="Times New Roman" w:hAnsi="Times New Roman" w:cs="Times New Roman"/>
                <w:color w:val="auto"/>
                <w:sz w:val="20"/>
                <w:szCs w:val="20"/>
              </w:rPr>
              <w:t xml:space="preserve">           11.300 </w:t>
            </w:r>
          </w:p>
        </w:tc>
        <w:tc>
          <w:tcPr>
            <w:tcW w:w="1260" w:type="dxa"/>
            <w:tcBorders>
              <w:top w:val="nil"/>
              <w:left w:val="nil"/>
              <w:bottom w:val="single" w:sz="4" w:space="0" w:color="auto"/>
              <w:right w:val="single" w:sz="4" w:space="0" w:color="auto"/>
            </w:tcBorders>
            <w:shd w:val="clear" w:color="auto" w:fill="auto"/>
            <w:noWrap/>
            <w:vAlign w:val="center"/>
            <w:hideMark/>
          </w:tcPr>
          <w:p w14:paraId="4BF89FDE" w14:textId="77777777" w:rsidR="00091C8D" w:rsidRPr="006A4310" w:rsidRDefault="00091C8D" w:rsidP="006A4310">
            <w:pPr>
              <w:spacing w:after="0" w:line="240" w:lineRule="auto"/>
              <w:jc w:val="both"/>
              <w:rPr>
                <w:rFonts w:ascii="Times New Roman" w:eastAsia="Times New Roman" w:hAnsi="Times New Roman" w:cs="Times New Roman"/>
                <w:color w:val="auto"/>
                <w:sz w:val="20"/>
                <w:szCs w:val="20"/>
              </w:rPr>
            </w:pPr>
            <w:r w:rsidRPr="006A4310">
              <w:rPr>
                <w:rFonts w:ascii="Times New Roman" w:eastAsia="Times New Roman" w:hAnsi="Times New Roman" w:cs="Times New Roman"/>
                <w:color w:val="auto"/>
                <w:sz w:val="20"/>
                <w:szCs w:val="20"/>
              </w:rPr>
              <w:t xml:space="preserve">           260.875 </w:t>
            </w:r>
          </w:p>
        </w:tc>
      </w:tr>
      <w:tr w:rsidR="008D10D8" w:rsidRPr="006A4310" w14:paraId="2CB0705B" w14:textId="77777777" w:rsidTr="2B8B3F1E">
        <w:trPr>
          <w:trHeight w:val="347"/>
        </w:trPr>
        <w:tc>
          <w:tcPr>
            <w:tcW w:w="1971" w:type="dxa"/>
            <w:tcBorders>
              <w:top w:val="nil"/>
              <w:left w:val="single" w:sz="4" w:space="0" w:color="auto"/>
              <w:bottom w:val="single" w:sz="4" w:space="0" w:color="auto"/>
              <w:right w:val="single" w:sz="4" w:space="0" w:color="auto"/>
            </w:tcBorders>
            <w:shd w:val="clear" w:color="auto" w:fill="auto"/>
            <w:noWrap/>
            <w:vAlign w:val="bottom"/>
            <w:hideMark/>
          </w:tcPr>
          <w:p w14:paraId="2642DD39" w14:textId="77777777" w:rsidR="00091C8D" w:rsidRPr="006A4310" w:rsidRDefault="00091C8D" w:rsidP="006A4310">
            <w:pPr>
              <w:spacing w:after="0" w:line="240" w:lineRule="auto"/>
              <w:jc w:val="both"/>
              <w:rPr>
                <w:rFonts w:ascii="Times New Roman" w:eastAsia="Times New Roman" w:hAnsi="Times New Roman" w:cs="Times New Roman"/>
                <w:color w:val="auto"/>
                <w:sz w:val="20"/>
                <w:szCs w:val="20"/>
              </w:rPr>
            </w:pPr>
            <w:r w:rsidRPr="006A4310">
              <w:rPr>
                <w:rFonts w:ascii="Times New Roman" w:eastAsia="Times New Roman" w:hAnsi="Times New Roman" w:cs="Times New Roman"/>
                <w:color w:val="auto"/>
                <w:sz w:val="20"/>
                <w:szCs w:val="20"/>
              </w:rPr>
              <w:lastRenderedPageBreak/>
              <w:t>Número de salas de aulas construidas</w:t>
            </w:r>
          </w:p>
        </w:tc>
        <w:tc>
          <w:tcPr>
            <w:tcW w:w="1235" w:type="dxa"/>
            <w:tcBorders>
              <w:top w:val="nil"/>
              <w:left w:val="nil"/>
              <w:bottom w:val="single" w:sz="4" w:space="0" w:color="auto"/>
              <w:right w:val="single" w:sz="4" w:space="0" w:color="auto"/>
            </w:tcBorders>
            <w:shd w:val="clear" w:color="auto" w:fill="auto"/>
            <w:noWrap/>
            <w:vAlign w:val="center"/>
            <w:hideMark/>
          </w:tcPr>
          <w:p w14:paraId="6E2DA933" w14:textId="77777777" w:rsidR="00091C8D" w:rsidRPr="006A4310" w:rsidRDefault="00091C8D" w:rsidP="006A4310">
            <w:pPr>
              <w:spacing w:after="0" w:line="240" w:lineRule="auto"/>
              <w:jc w:val="both"/>
              <w:rPr>
                <w:rFonts w:ascii="Times New Roman" w:eastAsia="Times New Roman" w:hAnsi="Times New Roman" w:cs="Times New Roman"/>
                <w:color w:val="auto"/>
                <w:sz w:val="20"/>
                <w:szCs w:val="20"/>
              </w:rPr>
            </w:pPr>
            <w:r w:rsidRPr="006A4310">
              <w:rPr>
                <w:rFonts w:ascii="Times New Roman" w:eastAsia="Times New Roman" w:hAnsi="Times New Roman" w:cs="Times New Roman"/>
                <w:color w:val="auto"/>
                <w:sz w:val="20"/>
                <w:szCs w:val="20"/>
              </w:rPr>
              <w:t xml:space="preserve">                 614 </w:t>
            </w:r>
          </w:p>
        </w:tc>
        <w:tc>
          <w:tcPr>
            <w:tcW w:w="1208" w:type="dxa"/>
            <w:tcBorders>
              <w:top w:val="nil"/>
              <w:left w:val="nil"/>
              <w:bottom w:val="single" w:sz="4" w:space="0" w:color="auto"/>
              <w:right w:val="single" w:sz="4" w:space="0" w:color="auto"/>
            </w:tcBorders>
            <w:shd w:val="clear" w:color="auto" w:fill="auto"/>
            <w:noWrap/>
            <w:vAlign w:val="center"/>
            <w:hideMark/>
          </w:tcPr>
          <w:p w14:paraId="68C0ED08" w14:textId="77777777" w:rsidR="00091C8D" w:rsidRPr="006A4310" w:rsidRDefault="00091C8D" w:rsidP="006A4310">
            <w:pPr>
              <w:spacing w:after="0" w:line="240" w:lineRule="auto"/>
              <w:jc w:val="both"/>
              <w:rPr>
                <w:rFonts w:ascii="Times New Roman" w:eastAsia="Times New Roman" w:hAnsi="Times New Roman" w:cs="Times New Roman"/>
                <w:color w:val="auto"/>
                <w:sz w:val="20"/>
                <w:szCs w:val="20"/>
              </w:rPr>
            </w:pPr>
            <w:r w:rsidRPr="006A4310">
              <w:rPr>
                <w:rFonts w:ascii="Times New Roman" w:eastAsia="Times New Roman" w:hAnsi="Times New Roman" w:cs="Times New Roman"/>
                <w:color w:val="auto"/>
                <w:sz w:val="20"/>
                <w:szCs w:val="20"/>
              </w:rPr>
              <w:t xml:space="preserve">                 583 </w:t>
            </w:r>
          </w:p>
        </w:tc>
        <w:tc>
          <w:tcPr>
            <w:tcW w:w="1190" w:type="dxa"/>
            <w:tcBorders>
              <w:top w:val="nil"/>
              <w:left w:val="nil"/>
              <w:bottom w:val="single" w:sz="4" w:space="0" w:color="auto"/>
              <w:right w:val="single" w:sz="4" w:space="0" w:color="auto"/>
            </w:tcBorders>
            <w:shd w:val="clear" w:color="auto" w:fill="auto"/>
            <w:noWrap/>
            <w:vAlign w:val="center"/>
            <w:hideMark/>
          </w:tcPr>
          <w:p w14:paraId="4C522E23" w14:textId="77777777" w:rsidR="00091C8D" w:rsidRPr="006A4310" w:rsidRDefault="00091C8D" w:rsidP="006A4310">
            <w:pPr>
              <w:spacing w:after="0" w:line="240" w:lineRule="auto"/>
              <w:jc w:val="both"/>
              <w:rPr>
                <w:rFonts w:ascii="Times New Roman" w:eastAsia="Times New Roman" w:hAnsi="Times New Roman" w:cs="Times New Roman"/>
                <w:color w:val="auto"/>
                <w:sz w:val="20"/>
                <w:szCs w:val="20"/>
              </w:rPr>
            </w:pPr>
            <w:r w:rsidRPr="006A4310">
              <w:rPr>
                <w:rFonts w:ascii="Times New Roman" w:eastAsia="Times New Roman" w:hAnsi="Times New Roman" w:cs="Times New Roman"/>
                <w:color w:val="auto"/>
                <w:sz w:val="20"/>
                <w:szCs w:val="20"/>
              </w:rPr>
              <w:t xml:space="preserve">                 711 </w:t>
            </w:r>
          </w:p>
        </w:tc>
        <w:tc>
          <w:tcPr>
            <w:tcW w:w="586" w:type="dxa"/>
            <w:tcBorders>
              <w:top w:val="nil"/>
              <w:left w:val="nil"/>
              <w:bottom w:val="single" w:sz="4" w:space="0" w:color="auto"/>
              <w:right w:val="single" w:sz="4" w:space="0" w:color="auto"/>
            </w:tcBorders>
            <w:shd w:val="clear" w:color="auto" w:fill="auto"/>
            <w:noWrap/>
            <w:vAlign w:val="center"/>
            <w:hideMark/>
          </w:tcPr>
          <w:p w14:paraId="07C0D394" w14:textId="77777777" w:rsidR="00091C8D" w:rsidRPr="006A4310" w:rsidRDefault="00091C8D" w:rsidP="006A4310">
            <w:pPr>
              <w:spacing w:after="0" w:line="240" w:lineRule="auto"/>
              <w:jc w:val="both"/>
              <w:rPr>
                <w:rFonts w:ascii="Times New Roman" w:eastAsia="Times New Roman" w:hAnsi="Times New Roman" w:cs="Times New Roman"/>
                <w:color w:val="auto"/>
                <w:sz w:val="20"/>
                <w:szCs w:val="20"/>
              </w:rPr>
            </w:pPr>
            <w:r w:rsidRPr="006A4310">
              <w:rPr>
                <w:rFonts w:ascii="Times New Roman" w:eastAsia="Times New Roman" w:hAnsi="Times New Roman" w:cs="Times New Roman"/>
                <w:color w:val="auto"/>
                <w:sz w:val="20"/>
                <w:szCs w:val="20"/>
              </w:rPr>
              <w:t xml:space="preserve"> ND </w:t>
            </w:r>
          </w:p>
        </w:tc>
        <w:tc>
          <w:tcPr>
            <w:tcW w:w="686" w:type="dxa"/>
            <w:tcBorders>
              <w:top w:val="nil"/>
              <w:left w:val="nil"/>
              <w:bottom w:val="single" w:sz="4" w:space="0" w:color="auto"/>
              <w:right w:val="single" w:sz="4" w:space="0" w:color="auto"/>
            </w:tcBorders>
            <w:shd w:val="clear" w:color="auto" w:fill="auto"/>
            <w:noWrap/>
            <w:vAlign w:val="center"/>
            <w:hideMark/>
          </w:tcPr>
          <w:p w14:paraId="0B818699" w14:textId="77777777" w:rsidR="00091C8D" w:rsidRPr="006A4310" w:rsidRDefault="00091C8D" w:rsidP="006A4310">
            <w:pPr>
              <w:spacing w:after="0" w:line="240" w:lineRule="auto"/>
              <w:jc w:val="both"/>
              <w:rPr>
                <w:rFonts w:ascii="Times New Roman" w:eastAsia="Times New Roman" w:hAnsi="Times New Roman" w:cs="Times New Roman"/>
                <w:color w:val="auto"/>
                <w:sz w:val="20"/>
                <w:szCs w:val="20"/>
              </w:rPr>
            </w:pPr>
            <w:r w:rsidRPr="006A4310">
              <w:rPr>
                <w:rFonts w:ascii="Times New Roman" w:eastAsia="Times New Roman" w:hAnsi="Times New Roman" w:cs="Times New Roman"/>
                <w:color w:val="auto"/>
                <w:sz w:val="20"/>
                <w:szCs w:val="20"/>
              </w:rPr>
              <w:t xml:space="preserve"> ND </w:t>
            </w:r>
          </w:p>
        </w:tc>
        <w:tc>
          <w:tcPr>
            <w:tcW w:w="1214" w:type="dxa"/>
            <w:tcBorders>
              <w:top w:val="nil"/>
              <w:left w:val="nil"/>
              <w:bottom w:val="single" w:sz="4" w:space="0" w:color="auto"/>
              <w:right w:val="single" w:sz="4" w:space="0" w:color="auto"/>
            </w:tcBorders>
            <w:shd w:val="clear" w:color="auto" w:fill="auto"/>
            <w:noWrap/>
            <w:vAlign w:val="center"/>
            <w:hideMark/>
          </w:tcPr>
          <w:p w14:paraId="0315470B" w14:textId="77777777" w:rsidR="00091C8D" w:rsidRPr="006A4310" w:rsidRDefault="00091C8D" w:rsidP="006A4310">
            <w:pPr>
              <w:spacing w:after="0" w:line="240" w:lineRule="auto"/>
              <w:jc w:val="both"/>
              <w:rPr>
                <w:rFonts w:ascii="Times New Roman" w:eastAsia="Times New Roman" w:hAnsi="Times New Roman" w:cs="Times New Roman"/>
                <w:color w:val="auto"/>
                <w:sz w:val="20"/>
                <w:szCs w:val="20"/>
              </w:rPr>
            </w:pPr>
            <w:r w:rsidRPr="006A4310">
              <w:rPr>
                <w:rFonts w:ascii="Times New Roman" w:eastAsia="Times New Roman" w:hAnsi="Times New Roman" w:cs="Times New Roman"/>
                <w:color w:val="auto"/>
                <w:sz w:val="20"/>
                <w:szCs w:val="20"/>
              </w:rPr>
              <w:t xml:space="preserve">                 773 </w:t>
            </w:r>
          </w:p>
        </w:tc>
        <w:tc>
          <w:tcPr>
            <w:tcW w:w="1260" w:type="dxa"/>
            <w:tcBorders>
              <w:top w:val="nil"/>
              <w:left w:val="nil"/>
              <w:bottom w:val="single" w:sz="4" w:space="0" w:color="auto"/>
              <w:right w:val="single" w:sz="4" w:space="0" w:color="auto"/>
            </w:tcBorders>
            <w:shd w:val="clear" w:color="auto" w:fill="auto"/>
            <w:noWrap/>
            <w:vAlign w:val="center"/>
            <w:hideMark/>
          </w:tcPr>
          <w:p w14:paraId="625331F5" w14:textId="77777777" w:rsidR="00091C8D" w:rsidRPr="006A4310" w:rsidRDefault="00091C8D" w:rsidP="006A4310">
            <w:pPr>
              <w:spacing w:after="0" w:line="240" w:lineRule="auto"/>
              <w:jc w:val="both"/>
              <w:rPr>
                <w:rFonts w:ascii="Times New Roman" w:eastAsia="Times New Roman" w:hAnsi="Times New Roman" w:cs="Times New Roman"/>
                <w:color w:val="auto"/>
                <w:sz w:val="20"/>
                <w:szCs w:val="20"/>
              </w:rPr>
            </w:pPr>
            <w:r w:rsidRPr="006A4310">
              <w:rPr>
                <w:rFonts w:ascii="Times New Roman" w:eastAsia="Times New Roman" w:hAnsi="Times New Roman" w:cs="Times New Roman"/>
                <w:color w:val="auto"/>
                <w:sz w:val="20"/>
                <w:szCs w:val="20"/>
              </w:rPr>
              <w:t xml:space="preserve">                3.355 </w:t>
            </w:r>
          </w:p>
        </w:tc>
      </w:tr>
    </w:tbl>
    <w:p w14:paraId="2DD57B06" w14:textId="77777777" w:rsidR="00070213" w:rsidRPr="00C53D01" w:rsidRDefault="00BA3D83" w:rsidP="00581281">
      <w:pPr>
        <w:spacing w:after="0" w:line="360" w:lineRule="auto"/>
        <w:jc w:val="both"/>
        <w:rPr>
          <w:rFonts w:ascii="Times New Roman" w:hAnsi="Times New Roman" w:cs="Times New Roman"/>
          <w:i/>
        </w:rPr>
      </w:pPr>
      <w:r w:rsidRPr="00C53D01">
        <w:rPr>
          <w:rFonts w:ascii="Times New Roman" w:hAnsi="Times New Roman" w:cs="Times New Roman"/>
          <w:i/>
        </w:rPr>
        <w:t>Fonte: BdPESOE 2023, CGE (2019 a 2022), PQG 2020-2024 e PESOE 2024</w:t>
      </w:r>
    </w:p>
    <w:p w14:paraId="71DD6F9E" w14:textId="77777777" w:rsidR="00070213" w:rsidRPr="00581281" w:rsidRDefault="00070213" w:rsidP="00581281">
      <w:pPr>
        <w:spacing w:after="0" w:line="360" w:lineRule="auto"/>
        <w:jc w:val="both"/>
        <w:rPr>
          <w:rFonts w:ascii="Times New Roman" w:hAnsi="Times New Roman" w:cs="Times New Roman"/>
          <w:b/>
        </w:rPr>
      </w:pPr>
    </w:p>
    <w:p w14:paraId="570FE374" w14:textId="732AE6B8" w:rsidR="00070213" w:rsidRPr="00581281" w:rsidRDefault="00BA3D83" w:rsidP="00581281">
      <w:pPr>
        <w:numPr>
          <w:ilvl w:val="0"/>
          <w:numId w:val="7"/>
        </w:numPr>
        <w:pBdr>
          <w:top w:val="nil"/>
          <w:left w:val="nil"/>
          <w:bottom w:val="nil"/>
          <w:right w:val="nil"/>
          <w:between w:val="nil"/>
        </w:pBdr>
        <w:spacing w:after="0" w:line="360" w:lineRule="auto"/>
        <w:ind w:left="360"/>
        <w:jc w:val="both"/>
        <w:rPr>
          <w:rFonts w:ascii="Times New Roman" w:hAnsi="Times New Roman" w:cs="Times New Roman"/>
          <w:b/>
          <w:color w:val="auto"/>
        </w:rPr>
      </w:pPr>
      <w:r w:rsidRPr="00581281">
        <w:rPr>
          <w:rFonts w:ascii="Times New Roman" w:hAnsi="Times New Roman" w:cs="Times New Roman"/>
          <w:b/>
          <w:color w:val="auto"/>
        </w:rPr>
        <w:t xml:space="preserve">Taxa líquida de escolarização na 1ª classe aos 6 anos: </w:t>
      </w:r>
      <w:r w:rsidRPr="00581281">
        <w:rPr>
          <w:rFonts w:ascii="Times New Roman" w:hAnsi="Times New Roman" w:cs="Times New Roman"/>
          <w:color w:val="auto"/>
        </w:rPr>
        <w:t>Nos primeiros 3 anos do presente quinquénio, este indicador regrediu</w:t>
      </w:r>
      <w:r w:rsidR="00670788" w:rsidRPr="00581281">
        <w:rPr>
          <w:rFonts w:ascii="Times New Roman" w:hAnsi="Times New Roman" w:cs="Times New Roman"/>
          <w:color w:val="auto"/>
        </w:rPr>
        <w:t xml:space="preserve"> de 93% (2019 – cenário base)</w:t>
      </w:r>
      <w:r w:rsidRPr="00581281">
        <w:rPr>
          <w:rFonts w:ascii="Times New Roman" w:hAnsi="Times New Roman" w:cs="Times New Roman"/>
          <w:color w:val="auto"/>
        </w:rPr>
        <w:t xml:space="preserve"> para 91% (2022). Contudo, as metas estabelecidas para os dois últimos anos superam até a meta do</w:t>
      </w:r>
      <w:r w:rsidR="00670788" w:rsidRPr="00581281">
        <w:rPr>
          <w:rFonts w:ascii="Times New Roman" w:hAnsi="Times New Roman" w:cs="Times New Roman"/>
          <w:color w:val="auto"/>
        </w:rPr>
        <w:t xml:space="preserve"> PQG de 98%. Estes planos geram</w:t>
      </w:r>
      <w:r w:rsidRPr="00581281">
        <w:rPr>
          <w:rFonts w:ascii="Times New Roman" w:hAnsi="Times New Roman" w:cs="Times New Roman"/>
          <w:color w:val="auto"/>
        </w:rPr>
        <w:t xml:space="preserve"> questionamentos da sociedade civil, na medida em que </w:t>
      </w:r>
      <w:r w:rsidR="009E21A4" w:rsidRPr="00581281">
        <w:rPr>
          <w:rFonts w:ascii="Times New Roman" w:hAnsi="Times New Roman" w:cs="Times New Roman"/>
          <w:color w:val="auto"/>
        </w:rPr>
        <w:t xml:space="preserve">se </w:t>
      </w:r>
      <w:r w:rsidRPr="00581281">
        <w:rPr>
          <w:rFonts w:ascii="Times New Roman" w:hAnsi="Times New Roman" w:cs="Times New Roman"/>
          <w:color w:val="auto"/>
        </w:rPr>
        <w:t xml:space="preserve">nos primeiros 3 anos da actual legislatura </w:t>
      </w:r>
      <w:r w:rsidR="00670788" w:rsidRPr="00581281">
        <w:rPr>
          <w:rFonts w:ascii="Times New Roman" w:hAnsi="Times New Roman" w:cs="Times New Roman"/>
          <w:color w:val="auto"/>
        </w:rPr>
        <w:t>d</w:t>
      </w:r>
      <w:r w:rsidRPr="00581281">
        <w:rPr>
          <w:rFonts w:ascii="Times New Roman" w:hAnsi="Times New Roman" w:cs="Times New Roman"/>
          <w:color w:val="auto"/>
        </w:rPr>
        <w:t xml:space="preserve">o governo o indicador regrediu para baixo do cenário base, </w:t>
      </w:r>
      <w:r w:rsidR="009E21A4" w:rsidRPr="00581281">
        <w:rPr>
          <w:rFonts w:ascii="Times New Roman" w:hAnsi="Times New Roman" w:cs="Times New Roman"/>
          <w:color w:val="auto"/>
        </w:rPr>
        <w:t xml:space="preserve">duvida-se que </w:t>
      </w:r>
      <w:r w:rsidRPr="00581281">
        <w:rPr>
          <w:rFonts w:ascii="Times New Roman" w:hAnsi="Times New Roman" w:cs="Times New Roman"/>
          <w:color w:val="auto"/>
        </w:rPr>
        <w:t xml:space="preserve">nos últimos 2 anos </w:t>
      </w:r>
      <w:r w:rsidR="009E21A4" w:rsidRPr="00581281">
        <w:rPr>
          <w:rFonts w:ascii="Times New Roman" w:hAnsi="Times New Roman" w:cs="Times New Roman"/>
          <w:color w:val="auto"/>
        </w:rPr>
        <w:t xml:space="preserve">o mesmo </w:t>
      </w:r>
      <w:r w:rsidRPr="00581281">
        <w:rPr>
          <w:rFonts w:ascii="Times New Roman" w:hAnsi="Times New Roman" w:cs="Times New Roman"/>
          <w:color w:val="auto"/>
        </w:rPr>
        <w:t>supere a me</w:t>
      </w:r>
      <w:r w:rsidR="009E21A4" w:rsidRPr="00581281">
        <w:rPr>
          <w:rFonts w:ascii="Times New Roman" w:hAnsi="Times New Roman" w:cs="Times New Roman"/>
          <w:color w:val="auto"/>
        </w:rPr>
        <w:t xml:space="preserve">ta do PQG. </w:t>
      </w:r>
    </w:p>
    <w:p w14:paraId="1795B814" w14:textId="77777777" w:rsidR="00070213" w:rsidRPr="00581281" w:rsidRDefault="00BA3D83" w:rsidP="00581281">
      <w:pPr>
        <w:numPr>
          <w:ilvl w:val="0"/>
          <w:numId w:val="7"/>
        </w:numPr>
        <w:pBdr>
          <w:top w:val="nil"/>
          <w:left w:val="nil"/>
          <w:bottom w:val="nil"/>
          <w:right w:val="nil"/>
          <w:between w:val="nil"/>
        </w:pBdr>
        <w:spacing w:after="0" w:line="360" w:lineRule="auto"/>
        <w:ind w:left="360"/>
        <w:jc w:val="both"/>
        <w:rPr>
          <w:rFonts w:ascii="Times New Roman" w:hAnsi="Times New Roman" w:cs="Times New Roman"/>
          <w:b/>
          <w:color w:val="auto"/>
        </w:rPr>
      </w:pPr>
      <w:r w:rsidRPr="00581281">
        <w:rPr>
          <w:rFonts w:ascii="Times New Roman" w:hAnsi="Times New Roman" w:cs="Times New Roman"/>
          <w:b/>
          <w:color w:val="auto"/>
        </w:rPr>
        <w:t xml:space="preserve">Rácio Aluno por Professor: </w:t>
      </w:r>
      <w:r w:rsidRPr="00581281">
        <w:rPr>
          <w:rFonts w:ascii="Times New Roman" w:hAnsi="Times New Roman" w:cs="Times New Roman"/>
          <w:color w:val="auto"/>
        </w:rPr>
        <w:t>Com relação ao rácio aluno por professor</w:t>
      </w:r>
      <w:r w:rsidRPr="00581281">
        <w:rPr>
          <w:rFonts w:ascii="Times New Roman" w:hAnsi="Times New Roman" w:cs="Times New Roman"/>
          <w:b/>
          <w:color w:val="auto"/>
        </w:rPr>
        <w:t xml:space="preserve"> </w:t>
      </w:r>
      <w:r w:rsidRPr="00581281">
        <w:rPr>
          <w:rFonts w:ascii="Times New Roman" w:hAnsi="Times New Roman" w:cs="Times New Roman"/>
          <w:color w:val="auto"/>
        </w:rPr>
        <w:t xml:space="preserve">o cenário base, em 2019, foi 70 e a meta do PQG era diminuir para 60. De facto, de 2020 a 2022, registou-se uma diminuição de 67 para 65. Em 2023 previu-se uma diminuição para 55, ou seja, um cenário mais optimista que a meta do PQG para 2024. A Proposta do PESOE para 2024, estabelece uma meta para 66%, ou seja, assume que não se irá alcançar a meta do PQG. </w:t>
      </w:r>
    </w:p>
    <w:p w14:paraId="65C3900F" w14:textId="77777777" w:rsidR="00070213" w:rsidRPr="00581281" w:rsidRDefault="00BA3D83" w:rsidP="00581281">
      <w:pPr>
        <w:numPr>
          <w:ilvl w:val="0"/>
          <w:numId w:val="7"/>
        </w:numPr>
        <w:pBdr>
          <w:top w:val="nil"/>
          <w:left w:val="nil"/>
          <w:bottom w:val="nil"/>
          <w:right w:val="nil"/>
          <w:between w:val="nil"/>
        </w:pBdr>
        <w:spacing w:after="0" w:line="360" w:lineRule="auto"/>
        <w:ind w:left="360"/>
        <w:jc w:val="both"/>
        <w:rPr>
          <w:rFonts w:ascii="Times New Roman" w:hAnsi="Times New Roman" w:cs="Times New Roman"/>
          <w:b/>
          <w:color w:val="auto"/>
        </w:rPr>
      </w:pPr>
      <w:r w:rsidRPr="00581281">
        <w:rPr>
          <w:rFonts w:ascii="Times New Roman" w:hAnsi="Times New Roman" w:cs="Times New Roman"/>
          <w:b/>
          <w:color w:val="auto"/>
        </w:rPr>
        <w:t xml:space="preserve">Número de Livros distribuídos: </w:t>
      </w:r>
      <w:r w:rsidRPr="00581281">
        <w:rPr>
          <w:rFonts w:ascii="Times New Roman" w:hAnsi="Times New Roman" w:cs="Times New Roman"/>
          <w:color w:val="auto"/>
        </w:rPr>
        <w:t xml:space="preserve">A educação de qualidade depende, dentre outros aspectos, da disponibilidade de material didáctico. O Cenário base é cerca de 15,3 Milhões de livros distribuídos e a meta de cerca de 101,7 Milhões de Livros Distribuídos. A Proposta do PESOE indica que se planifica distribuir menos de um quarto da meta distribuído do PQG, ou seja, cerca de 22,5 milhões de livros. </w:t>
      </w:r>
    </w:p>
    <w:p w14:paraId="1A7A8384" w14:textId="77777777" w:rsidR="00070213" w:rsidRPr="00581281" w:rsidRDefault="00BA3D83" w:rsidP="00581281">
      <w:pPr>
        <w:numPr>
          <w:ilvl w:val="0"/>
          <w:numId w:val="7"/>
        </w:numPr>
        <w:pBdr>
          <w:top w:val="nil"/>
          <w:left w:val="nil"/>
          <w:bottom w:val="nil"/>
          <w:right w:val="nil"/>
          <w:between w:val="nil"/>
        </w:pBdr>
        <w:spacing w:after="0" w:line="360" w:lineRule="auto"/>
        <w:ind w:left="360"/>
        <w:jc w:val="both"/>
        <w:rPr>
          <w:rFonts w:ascii="Times New Roman" w:hAnsi="Times New Roman" w:cs="Times New Roman"/>
          <w:b/>
          <w:color w:val="auto"/>
        </w:rPr>
      </w:pPr>
      <w:r w:rsidRPr="00581281">
        <w:rPr>
          <w:rFonts w:ascii="Times New Roman" w:hAnsi="Times New Roman" w:cs="Times New Roman"/>
          <w:b/>
          <w:color w:val="auto"/>
        </w:rPr>
        <w:t xml:space="preserve">Número de Carteiras escolares distribuídas: </w:t>
      </w:r>
      <w:r w:rsidRPr="00581281">
        <w:rPr>
          <w:rFonts w:ascii="Times New Roman" w:hAnsi="Times New Roman" w:cs="Times New Roman"/>
          <w:color w:val="auto"/>
        </w:rPr>
        <w:t>Com relação as carteiras escolares distribuídas, o cenário base, em 2019 foi de cerca de 269 milhões e a meta estabelecida foi de 261 milhões, portanto, menos que o cenário base. A proposta do PESOE 2024, indica a distribuição de carteiras menos de 23 vezes ao estabelecido pela meta.</w:t>
      </w:r>
      <w:r w:rsidRPr="00581281">
        <w:rPr>
          <w:rFonts w:ascii="Times New Roman" w:hAnsi="Times New Roman" w:cs="Times New Roman"/>
          <w:b/>
          <w:color w:val="auto"/>
        </w:rPr>
        <w:t xml:space="preserve"> </w:t>
      </w:r>
    </w:p>
    <w:p w14:paraId="44279FB5" w14:textId="16D5CFD8" w:rsidR="00070213" w:rsidRPr="00581281" w:rsidRDefault="00BA3D83" w:rsidP="00581281">
      <w:pPr>
        <w:numPr>
          <w:ilvl w:val="0"/>
          <w:numId w:val="7"/>
        </w:numPr>
        <w:pBdr>
          <w:top w:val="nil"/>
          <w:left w:val="nil"/>
          <w:bottom w:val="nil"/>
          <w:right w:val="nil"/>
          <w:between w:val="nil"/>
        </w:pBdr>
        <w:spacing w:after="160" w:line="360" w:lineRule="auto"/>
        <w:ind w:left="360"/>
        <w:jc w:val="both"/>
        <w:rPr>
          <w:rFonts w:ascii="Times New Roman" w:hAnsi="Times New Roman" w:cs="Times New Roman"/>
          <w:b/>
          <w:color w:val="auto"/>
        </w:rPr>
      </w:pPr>
      <w:r w:rsidRPr="00581281">
        <w:rPr>
          <w:rFonts w:ascii="Times New Roman" w:hAnsi="Times New Roman" w:cs="Times New Roman"/>
          <w:b/>
          <w:color w:val="auto"/>
        </w:rPr>
        <w:t xml:space="preserve">Número de salas de aulas construídas: </w:t>
      </w:r>
      <w:r w:rsidRPr="00581281">
        <w:rPr>
          <w:rFonts w:ascii="Times New Roman" w:hAnsi="Times New Roman" w:cs="Times New Roman"/>
          <w:color w:val="auto"/>
        </w:rPr>
        <w:t>Com relação a este indicador prevê-se construir cerca de 3.355 salas de aula, o PESOE 2024 estabelece 773. Portanto muito abaixo da meta estabelecida. Essa discrepância significativa entre o planejado e a meta estabelecida ressalta desafios substanciais na expansão e melhoria das infra-estruturas educacionais. A falta de construção de salas de aula pode impactar adversamente a capacidade de oferecer educação de qualidade a um número crescente de estudantes.</w:t>
      </w:r>
    </w:p>
    <w:p w14:paraId="3F26C104" w14:textId="77777777" w:rsidR="00070213" w:rsidRPr="00581281" w:rsidRDefault="00BA3D83" w:rsidP="00581281">
      <w:pPr>
        <w:numPr>
          <w:ilvl w:val="0"/>
          <w:numId w:val="2"/>
        </w:numPr>
        <w:pBdr>
          <w:top w:val="nil"/>
          <w:left w:val="nil"/>
          <w:bottom w:val="nil"/>
          <w:right w:val="nil"/>
          <w:between w:val="nil"/>
        </w:pBdr>
        <w:spacing w:after="160" w:line="360" w:lineRule="auto"/>
        <w:jc w:val="both"/>
        <w:rPr>
          <w:rFonts w:ascii="Times New Roman" w:hAnsi="Times New Roman" w:cs="Times New Roman"/>
          <w:b/>
          <w:color w:val="auto"/>
        </w:rPr>
      </w:pPr>
      <w:r w:rsidRPr="00581281">
        <w:rPr>
          <w:rFonts w:ascii="Times New Roman" w:hAnsi="Times New Roman" w:cs="Times New Roman"/>
          <w:b/>
          <w:color w:val="auto"/>
        </w:rPr>
        <w:t>Alcance dos indicadores de saúde relacionados com crianças definidos no PQG</w:t>
      </w:r>
    </w:p>
    <w:p w14:paraId="4CC77D43" w14:textId="77777777" w:rsidR="00070213" w:rsidRPr="00581281" w:rsidRDefault="00BA3D83" w:rsidP="00581281">
      <w:pPr>
        <w:keepNext/>
        <w:pBdr>
          <w:top w:val="nil"/>
          <w:left w:val="nil"/>
          <w:bottom w:val="nil"/>
          <w:right w:val="nil"/>
          <w:between w:val="nil"/>
        </w:pBdr>
        <w:spacing w:after="0" w:line="360" w:lineRule="auto"/>
        <w:jc w:val="both"/>
        <w:rPr>
          <w:rFonts w:ascii="Times New Roman" w:hAnsi="Times New Roman" w:cs="Times New Roman"/>
          <w:b/>
          <w:color w:val="auto"/>
        </w:rPr>
      </w:pPr>
      <w:bookmarkStart w:id="10" w:name="_lnxbz9" w:colFirst="0" w:colLast="0"/>
      <w:bookmarkEnd w:id="10"/>
      <w:r w:rsidRPr="00581281">
        <w:rPr>
          <w:rFonts w:ascii="Times New Roman" w:hAnsi="Times New Roman" w:cs="Times New Roman"/>
          <w:b/>
          <w:color w:val="auto"/>
        </w:rPr>
        <w:lastRenderedPageBreak/>
        <w:t>Tabela 2: Alcance dos indicadores do PQG relacionados com a saúde das crianças</w:t>
      </w:r>
    </w:p>
    <w:tbl>
      <w:tblPr>
        <w:tblW w:w="9309" w:type="dxa"/>
        <w:tblCellMar>
          <w:left w:w="70" w:type="dxa"/>
          <w:right w:w="70" w:type="dxa"/>
        </w:tblCellMar>
        <w:tblLook w:val="04A0" w:firstRow="1" w:lastRow="0" w:firstColumn="1" w:lastColumn="0" w:noHBand="0" w:noVBand="1"/>
      </w:tblPr>
      <w:tblGrid>
        <w:gridCol w:w="3310"/>
        <w:gridCol w:w="904"/>
        <w:gridCol w:w="905"/>
        <w:gridCol w:w="905"/>
        <w:gridCol w:w="905"/>
        <w:gridCol w:w="761"/>
        <w:gridCol w:w="905"/>
        <w:gridCol w:w="905"/>
      </w:tblGrid>
      <w:tr w:rsidR="00551413" w:rsidRPr="006A4310" w14:paraId="47AB4938" w14:textId="77777777" w:rsidTr="00220867">
        <w:trPr>
          <w:trHeight w:val="625"/>
        </w:trPr>
        <w:tc>
          <w:tcPr>
            <w:tcW w:w="3457" w:type="dxa"/>
            <w:tcBorders>
              <w:top w:val="single" w:sz="4" w:space="0" w:color="auto"/>
              <w:left w:val="single" w:sz="4" w:space="0" w:color="auto"/>
              <w:bottom w:val="single" w:sz="4" w:space="0" w:color="auto"/>
              <w:right w:val="single" w:sz="4" w:space="0" w:color="auto"/>
            </w:tcBorders>
            <w:shd w:val="clear" w:color="000000" w:fill="DDEBF7"/>
            <w:noWrap/>
            <w:vAlign w:val="center"/>
            <w:hideMark/>
          </w:tcPr>
          <w:p w14:paraId="235758AA" w14:textId="77777777" w:rsidR="00220867" w:rsidRPr="006A4310" w:rsidRDefault="00220867" w:rsidP="006A4310">
            <w:pPr>
              <w:spacing w:after="0" w:line="240" w:lineRule="auto"/>
              <w:jc w:val="both"/>
              <w:rPr>
                <w:rFonts w:ascii="Times New Roman" w:eastAsia="Times New Roman" w:hAnsi="Times New Roman" w:cs="Times New Roman"/>
                <w:b/>
                <w:bCs/>
                <w:color w:val="auto"/>
                <w:sz w:val="20"/>
                <w:szCs w:val="20"/>
              </w:rPr>
            </w:pPr>
            <w:r w:rsidRPr="006A4310">
              <w:rPr>
                <w:rFonts w:ascii="Times New Roman" w:eastAsia="Times New Roman" w:hAnsi="Times New Roman" w:cs="Times New Roman"/>
                <w:b/>
                <w:bCs/>
                <w:color w:val="auto"/>
                <w:sz w:val="20"/>
                <w:szCs w:val="20"/>
              </w:rPr>
              <w:t>Indicadores Relacionados com a Criança</w:t>
            </w:r>
          </w:p>
        </w:tc>
        <w:tc>
          <w:tcPr>
            <w:tcW w:w="850" w:type="dxa"/>
            <w:tcBorders>
              <w:top w:val="single" w:sz="4" w:space="0" w:color="auto"/>
              <w:left w:val="nil"/>
              <w:bottom w:val="single" w:sz="4" w:space="0" w:color="auto"/>
              <w:right w:val="single" w:sz="4" w:space="0" w:color="auto"/>
            </w:tcBorders>
            <w:shd w:val="clear" w:color="000000" w:fill="DDEBF7"/>
            <w:noWrap/>
            <w:vAlign w:val="center"/>
            <w:hideMark/>
          </w:tcPr>
          <w:p w14:paraId="68F12921" w14:textId="77777777" w:rsidR="00220867" w:rsidRPr="006A4310" w:rsidRDefault="00220867" w:rsidP="006A4310">
            <w:pPr>
              <w:spacing w:after="0" w:line="240" w:lineRule="auto"/>
              <w:jc w:val="both"/>
              <w:rPr>
                <w:rFonts w:ascii="Times New Roman" w:eastAsia="Times New Roman" w:hAnsi="Times New Roman" w:cs="Times New Roman"/>
                <w:b/>
                <w:bCs/>
                <w:color w:val="auto"/>
                <w:sz w:val="20"/>
                <w:szCs w:val="20"/>
              </w:rPr>
            </w:pPr>
            <w:r w:rsidRPr="006A4310">
              <w:rPr>
                <w:rFonts w:ascii="Times New Roman" w:eastAsia="Times New Roman" w:hAnsi="Times New Roman" w:cs="Times New Roman"/>
                <w:b/>
                <w:bCs/>
                <w:color w:val="auto"/>
                <w:sz w:val="20"/>
                <w:szCs w:val="20"/>
              </w:rPr>
              <w:t>Base 2019</w:t>
            </w:r>
          </w:p>
        </w:tc>
        <w:tc>
          <w:tcPr>
            <w:tcW w:w="850" w:type="dxa"/>
            <w:tcBorders>
              <w:top w:val="single" w:sz="4" w:space="0" w:color="auto"/>
              <w:left w:val="nil"/>
              <w:bottom w:val="single" w:sz="4" w:space="0" w:color="auto"/>
              <w:right w:val="single" w:sz="4" w:space="0" w:color="auto"/>
            </w:tcBorders>
            <w:shd w:val="clear" w:color="000000" w:fill="DDEBF7"/>
            <w:noWrap/>
            <w:vAlign w:val="center"/>
            <w:hideMark/>
          </w:tcPr>
          <w:p w14:paraId="06C3B9BF" w14:textId="77777777" w:rsidR="00220867" w:rsidRPr="006A4310" w:rsidRDefault="00220867" w:rsidP="006A4310">
            <w:pPr>
              <w:spacing w:after="0" w:line="240" w:lineRule="auto"/>
              <w:jc w:val="both"/>
              <w:rPr>
                <w:rFonts w:ascii="Times New Roman" w:eastAsia="Times New Roman" w:hAnsi="Times New Roman" w:cs="Times New Roman"/>
                <w:b/>
                <w:bCs/>
                <w:color w:val="auto"/>
                <w:sz w:val="20"/>
                <w:szCs w:val="20"/>
              </w:rPr>
            </w:pPr>
            <w:r w:rsidRPr="006A4310">
              <w:rPr>
                <w:rFonts w:ascii="Times New Roman" w:eastAsia="Times New Roman" w:hAnsi="Times New Roman" w:cs="Times New Roman"/>
                <w:b/>
                <w:bCs/>
                <w:color w:val="auto"/>
                <w:sz w:val="20"/>
                <w:szCs w:val="20"/>
              </w:rPr>
              <w:t>2020</w:t>
            </w:r>
          </w:p>
        </w:tc>
        <w:tc>
          <w:tcPr>
            <w:tcW w:w="850" w:type="dxa"/>
            <w:tcBorders>
              <w:top w:val="single" w:sz="4" w:space="0" w:color="auto"/>
              <w:left w:val="nil"/>
              <w:bottom w:val="single" w:sz="4" w:space="0" w:color="auto"/>
              <w:right w:val="single" w:sz="4" w:space="0" w:color="auto"/>
            </w:tcBorders>
            <w:shd w:val="clear" w:color="000000" w:fill="DDEBF7"/>
            <w:noWrap/>
            <w:vAlign w:val="center"/>
            <w:hideMark/>
          </w:tcPr>
          <w:p w14:paraId="1DB9974D" w14:textId="77777777" w:rsidR="00220867" w:rsidRPr="006A4310" w:rsidRDefault="00220867" w:rsidP="006A4310">
            <w:pPr>
              <w:spacing w:after="0" w:line="240" w:lineRule="auto"/>
              <w:jc w:val="both"/>
              <w:rPr>
                <w:rFonts w:ascii="Times New Roman" w:eastAsia="Times New Roman" w:hAnsi="Times New Roman" w:cs="Times New Roman"/>
                <w:b/>
                <w:bCs/>
                <w:color w:val="auto"/>
                <w:sz w:val="20"/>
                <w:szCs w:val="20"/>
              </w:rPr>
            </w:pPr>
            <w:r w:rsidRPr="006A4310">
              <w:rPr>
                <w:rFonts w:ascii="Times New Roman" w:eastAsia="Times New Roman" w:hAnsi="Times New Roman" w:cs="Times New Roman"/>
                <w:b/>
                <w:bCs/>
                <w:color w:val="auto"/>
                <w:sz w:val="20"/>
                <w:szCs w:val="20"/>
              </w:rPr>
              <w:t>2021</w:t>
            </w:r>
          </w:p>
        </w:tc>
        <w:tc>
          <w:tcPr>
            <w:tcW w:w="780" w:type="dxa"/>
            <w:tcBorders>
              <w:top w:val="single" w:sz="4" w:space="0" w:color="auto"/>
              <w:left w:val="nil"/>
              <w:bottom w:val="single" w:sz="4" w:space="0" w:color="auto"/>
              <w:right w:val="single" w:sz="4" w:space="0" w:color="auto"/>
            </w:tcBorders>
            <w:shd w:val="clear" w:color="000000" w:fill="DDEBF7"/>
            <w:noWrap/>
            <w:vAlign w:val="center"/>
            <w:hideMark/>
          </w:tcPr>
          <w:p w14:paraId="73EE2050" w14:textId="77777777" w:rsidR="00220867" w:rsidRPr="006A4310" w:rsidRDefault="00220867" w:rsidP="006A4310">
            <w:pPr>
              <w:spacing w:after="0" w:line="240" w:lineRule="auto"/>
              <w:jc w:val="both"/>
              <w:rPr>
                <w:rFonts w:ascii="Times New Roman" w:eastAsia="Times New Roman" w:hAnsi="Times New Roman" w:cs="Times New Roman"/>
                <w:b/>
                <w:bCs/>
                <w:color w:val="auto"/>
                <w:sz w:val="20"/>
                <w:szCs w:val="20"/>
              </w:rPr>
            </w:pPr>
            <w:r w:rsidRPr="006A4310">
              <w:rPr>
                <w:rFonts w:ascii="Times New Roman" w:eastAsia="Times New Roman" w:hAnsi="Times New Roman" w:cs="Times New Roman"/>
                <w:b/>
                <w:bCs/>
                <w:color w:val="auto"/>
                <w:sz w:val="20"/>
                <w:szCs w:val="20"/>
              </w:rPr>
              <w:t>2022</w:t>
            </w:r>
          </w:p>
        </w:tc>
        <w:tc>
          <w:tcPr>
            <w:tcW w:w="752" w:type="dxa"/>
            <w:tcBorders>
              <w:top w:val="single" w:sz="4" w:space="0" w:color="auto"/>
              <w:left w:val="nil"/>
              <w:bottom w:val="single" w:sz="4" w:space="0" w:color="auto"/>
              <w:right w:val="single" w:sz="4" w:space="0" w:color="auto"/>
            </w:tcBorders>
            <w:shd w:val="clear" w:color="000000" w:fill="DDEBF7"/>
            <w:noWrap/>
            <w:vAlign w:val="center"/>
            <w:hideMark/>
          </w:tcPr>
          <w:p w14:paraId="115A97E0" w14:textId="77777777" w:rsidR="00220867" w:rsidRPr="006A4310" w:rsidRDefault="00220867" w:rsidP="006A4310">
            <w:pPr>
              <w:spacing w:after="0" w:line="240" w:lineRule="auto"/>
              <w:jc w:val="both"/>
              <w:rPr>
                <w:rFonts w:ascii="Times New Roman" w:eastAsia="Times New Roman" w:hAnsi="Times New Roman" w:cs="Times New Roman"/>
                <w:b/>
                <w:bCs/>
                <w:color w:val="auto"/>
                <w:sz w:val="20"/>
                <w:szCs w:val="20"/>
              </w:rPr>
            </w:pPr>
            <w:r w:rsidRPr="006A4310">
              <w:rPr>
                <w:rFonts w:ascii="Times New Roman" w:eastAsia="Times New Roman" w:hAnsi="Times New Roman" w:cs="Times New Roman"/>
                <w:b/>
                <w:bCs/>
                <w:color w:val="auto"/>
                <w:sz w:val="20"/>
                <w:szCs w:val="20"/>
              </w:rPr>
              <w:t>I Sem 2023</w:t>
            </w:r>
          </w:p>
        </w:tc>
        <w:tc>
          <w:tcPr>
            <w:tcW w:w="850" w:type="dxa"/>
            <w:tcBorders>
              <w:top w:val="single" w:sz="4" w:space="0" w:color="auto"/>
              <w:left w:val="nil"/>
              <w:bottom w:val="single" w:sz="4" w:space="0" w:color="auto"/>
              <w:right w:val="single" w:sz="4" w:space="0" w:color="auto"/>
            </w:tcBorders>
            <w:shd w:val="clear" w:color="000000" w:fill="DDEBF7"/>
            <w:noWrap/>
            <w:vAlign w:val="center"/>
            <w:hideMark/>
          </w:tcPr>
          <w:p w14:paraId="5B8114C3" w14:textId="77777777" w:rsidR="00220867" w:rsidRPr="006A4310" w:rsidRDefault="00220867" w:rsidP="006A4310">
            <w:pPr>
              <w:spacing w:after="0" w:line="240" w:lineRule="auto"/>
              <w:jc w:val="both"/>
              <w:rPr>
                <w:rFonts w:ascii="Times New Roman" w:eastAsia="Times New Roman" w:hAnsi="Times New Roman" w:cs="Times New Roman"/>
                <w:b/>
                <w:bCs/>
                <w:color w:val="auto"/>
                <w:sz w:val="20"/>
                <w:szCs w:val="20"/>
              </w:rPr>
            </w:pPr>
            <w:r w:rsidRPr="006A4310">
              <w:rPr>
                <w:rFonts w:ascii="Times New Roman" w:eastAsia="Times New Roman" w:hAnsi="Times New Roman" w:cs="Times New Roman"/>
                <w:b/>
                <w:bCs/>
                <w:color w:val="auto"/>
                <w:sz w:val="20"/>
                <w:szCs w:val="20"/>
              </w:rPr>
              <w:t>Plano 2024</w:t>
            </w:r>
          </w:p>
        </w:tc>
        <w:tc>
          <w:tcPr>
            <w:tcW w:w="920" w:type="dxa"/>
            <w:tcBorders>
              <w:top w:val="single" w:sz="4" w:space="0" w:color="auto"/>
              <w:left w:val="nil"/>
              <w:bottom w:val="single" w:sz="4" w:space="0" w:color="auto"/>
              <w:right w:val="single" w:sz="4" w:space="0" w:color="auto"/>
            </w:tcBorders>
            <w:shd w:val="clear" w:color="000000" w:fill="DDEBF7"/>
            <w:vAlign w:val="center"/>
            <w:hideMark/>
          </w:tcPr>
          <w:p w14:paraId="02065303" w14:textId="77777777" w:rsidR="00220867" w:rsidRPr="006A4310" w:rsidRDefault="00220867" w:rsidP="006A4310">
            <w:pPr>
              <w:spacing w:after="0" w:line="240" w:lineRule="auto"/>
              <w:jc w:val="both"/>
              <w:rPr>
                <w:rFonts w:ascii="Times New Roman" w:eastAsia="Times New Roman" w:hAnsi="Times New Roman" w:cs="Times New Roman"/>
                <w:b/>
                <w:bCs/>
                <w:color w:val="auto"/>
                <w:sz w:val="20"/>
                <w:szCs w:val="20"/>
              </w:rPr>
            </w:pPr>
            <w:r w:rsidRPr="006A4310">
              <w:rPr>
                <w:rFonts w:ascii="Times New Roman" w:eastAsia="Times New Roman" w:hAnsi="Times New Roman" w:cs="Times New Roman"/>
                <w:b/>
                <w:bCs/>
                <w:color w:val="auto"/>
                <w:sz w:val="20"/>
                <w:szCs w:val="20"/>
              </w:rPr>
              <w:t>Meta PQG 2019 - 2024</w:t>
            </w:r>
          </w:p>
        </w:tc>
      </w:tr>
      <w:tr w:rsidR="00551413" w:rsidRPr="006A4310" w14:paraId="11CC584C" w14:textId="77777777" w:rsidTr="00220867">
        <w:trPr>
          <w:trHeight w:val="312"/>
        </w:trPr>
        <w:tc>
          <w:tcPr>
            <w:tcW w:w="3457" w:type="dxa"/>
            <w:tcBorders>
              <w:top w:val="nil"/>
              <w:left w:val="single" w:sz="4" w:space="0" w:color="auto"/>
              <w:bottom w:val="single" w:sz="4" w:space="0" w:color="auto"/>
              <w:right w:val="single" w:sz="4" w:space="0" w:color="auto"/>
            </w:tcBorders>
            <w:shd w:val="clear" w:color="auto" w:fill="auto"/>
            <w:noWrap/>
            <w:vAlign w:val="center"/>
            <w:hideMark/>
          </w:tcPr>
          <w:p w14:paraId="1124CCDB" w14:textId="77777777" w:rsidR="00220867" w:rsidRPr="006A4310" w:rsidRDefault="00220867" w:rsidP="006A4310">
            <w:pPr>
              <w:spacing w:after="0" w:line="240" w:lineRule="auto"/>
              <w:jc w:val="both"/>
              <w:rPr>
                <w:rFonts w:ascii="Times New Roman" w:eastAsia="Times New Roman" w:hAnsi="Times New Roman" w:cs="Times New Roman"/>
                <w:color w:val="auto"/>
                <w:sz w:val="20"/>
                <w:szCs w:val="20"/>
              </w:rPr>
            </w:pPr>
            <w:r w:rsidRPr="006A4310">
              <w:rPr>
                <w:rFonts w:ascii="Times New Roman" w:eastAsia="Times New Roman" w:hAnsi="Times New Roman" w:cs="Times New Roman"/>
                <w:color w:val="auto"/>
                <w:sz w:val="20"/>
                <w:szCs w:val="20"/>
              </w:rPr>
              <w:t>Aumentada a % dos partos institucionais</w:t>
            </w:r>
          </w:p>
        </w:tc>
        <w:tc>
          <w:tcPr>
            <w:tcW w:w="850" w:type="dxa"/>
            <w:tcBorders>
              <w:top w:val="nil"/>
              <w:left w:val="nil"/>
              <w:bottom w:val="single" w:sz="4" w:space="0" w:color="auto"/>
              <w:right w:val="single" w:sz="4" w:space="0" w:color="auto"/>
            </w:tcBorders>
            <w:shd w:val="clear" w:color="auto" w:fill="auto"/>
            <w:noWrap/>
            <w:vAlign w:val="center"/>
            <w:hideMark/>
          </w:tcPr>
          <w:p w14:paraId="4BD39A11" w14:textId="77777777" w:rsidR="00220867" w:rsidRPr="006A4310" w:rsidRDefault="00220867" w:rsidP="006A4310">
            <w:pPr>
              <w:spacing w:after="0" w:line="240" w:lineRule="auto"/>
              <w:jc w:val="both"/>
              <w:rPr>
                <w:rFonts w:ascii="Times New Roman" w:eastAsia="Times New Roman" w:hAnsi="Times New Roman" w:cs="Times New Roman"/>
                <w:color w:val="auto"/>
                <w:sz w:val="20"/>
                <w:szCs w:val="20"/>
              </w:rPr>
            </w:pPr>
            <w:r w:rsidRPr="006A4310">
              <w:rPr>
                <w:rFonts w:ascii="Times New Roman" w:eastAsia="Times New Roman" w:hAnsi="Times New Roman" w:cs="Times New Roman"/>
                <w:color w:val="auto"/>
                <w:sz w:val="20"/>
                <w:szCs w:val="20"/>
              </w:rPr>
              <w:t>87%</w:t>
            </w:r>
          </w:p>
        </w:tc>
        <w:tc>
          <w:tcPr>
            <w:tcW w:w="850" w:type="dxa"/>
            <w:tcBorders>
              <w:top w:val="nil"/>
              <w:left w:val="nil"/>
              <w:bottom w:val="single" w:sz="4" w:space="0" w:color="auto"/>
              <w:right w:val="single" w:sz="4" w:space="0" w:color="auto"/>
            </w:tcBorders>
            <w:shd w:val="clear" w:color="auto" w:fill="auto"/>
            <w:noWrap/>
            <w:vAlign w:val="center"/>
            <w:hideMark/>
          </w:tcPr>
          <w:p w14:paraId="0FCA53F9" w14:textId="77777777" w:rsidR="00220867" w:rsidRPr="006A4310" w:rsidRDefault="00220867" w:rsidP="006A4310">
            <w:pPr>
              <w:spacing w:after="0" w:line="240" w:lineRule="auto"/>
              <w:jc w:val="both"/>
              <w:rPr>
                <w:rFonts w:ascii="Times New Roman" w:eastAsia="Times New Roman" w:hAnsi="Times New Roman" w:cs="Times New Roman"/>
                <w:color w:val="auto"/>
                <w:sz w:val="20"/>
                <w:szCs w:val="20"/>
              </w:rPr>
            </w:pPr>
            <w:r w:rsidRPr="006A4310">
              <w:rPr>
                <w:rFonts w:ascii="Times New Roman" w:eastAsia="Times New Roman" w:hAnsi="Times New Roman" w:cs="Times New Roman"/>
                <w:color w:val="auto"/>
                <w:sz w:val="20"/>
                <w:szCs w:val="20"/>
              </w:rPr>
              <w:t>87%</w:t>
            </w:r>
          </w:p>
        </w:tc>
        <w:tc>
          <w:tcPr>
            <w:tcW w:w="850" w:type="dxa"/>
            <w:tcBorders>
              <w:top w:val="nil"/>
              <w:left w:val="nil"/>
              <w:bottom w:val="single" w:sz="4" w:space="0" w:color="auto"/>
              <w:right w:val="single" w:sz="4" w:space="0" w:color="auto"/>
            </w:tcBorders>
            <w:shd w:val="clear" w:color="auto" w:fill="auto"/>
            <w:noWrap/>
            <w:vAlign w:val="center"/>
            <w:hideMark/>
          </w:tcPr>
          <w:p w14:paraId="60042A1B" w14:textId="77777777" w:rsidR="00220867" w:rsidRPr="006A4310" w:rsidRDefault="00220867" w:rsidP="006A4310">
            <w:pPr>
              <w:spacing w:after="0" w:line="240" w:lineRule="auto"/>
              <w:jc w:val="both"/>
              <w:rPr>
                <w:rFonts w:ascii="Times New Roman" w:eastAsia="Times New Roman" w:hAnsi="Times New Roman" w:cs="Times New Roman"/>
                <w:color w:val="auto"/>
                <w:sz w:val="20"/>
                <w:szCs w:val="20"/>
              </w:rPr>
            </w:pPr>
            <w:r w:rsidRPr="006A4310">
              <w:rPr>
                <w:rFonts w:ascii="Times New Roman" w:eastAsia="Times New Roman" w:hAnsi="Times New Roman" w:cs="Times New Roman"/>
                <w:color w:val="auto"/>
                <w:sz w:val="20"/>
                <w:szCs w:val="20"/>
              </w:rPr>
              <w:t>88,0%</w:t>
            </w:r>
          </w:p>
        </w:tc>
        <w:tc>
          <w:tcPr>
            <w:tcW w:w="780" w:type="dxa"/>
            <w:tcBorders>
              <w:top w:val="nil"/>
              <w:left w:val="nil"/>
              <w:bottom w:val="single" w:sz="4" w:space="0" w:color="auto"/>
              <w:right w:val="single" w:sz="4" w:space="0" w:color="auto"/>
            </w:tcBorders>
            <w:shd w:val="clear" w:color="auto" w:fill="auto"/>
            <w:noWrap/>
            <w:vAlign w:val="center"/>
            <w:hideMark/>
          </w:tcPr>
          <w:p w14:paraId="1AD045EC" w14:textId="77777777" w:rsidR="00220867" w:rsidRPr="006A4310" w:rsidRDefault="00220867" w:rsidP="006A4310">
            <w:pPr>
              <w:spacing w:after="0" w:line="240" w:lineRule="auto"/>
              <w:jc w:val="both"/>
              <w:rPr>
                <w:rFonts w:ascii="Times New Roman" w:eastAsia="Times New Roman" w:hAnsi="Times New Roman" w:cs="Times New Roman"/>
                <w:color w:val="auto"/>
                <w:sz w:val="20"/>
                <w:szCs w:val="20"/>
              </w:rPr>
            </w:pPr>
            <w:r w:rsidRPr="006A4310">
              <w:rPr>
                <w:rFonts w:ascii="Times New Roman" w:eastAsia="Times New Roman" w:hAnsi="Times New Roman" w:cs="Times New Roman"/>
                <w:color w:val="auto"/>
                <w:sz w:val="20"/>
                <w:szCs w:val="20"/>
              </w:rPr>
              <w:t>91%</w:t>
            </w:r>
          </w:p>
        </w:tc>
        <w:tc>
          <w:tcPr>
            <w:tcW w:w="752" w:type="dxa"/>
            <w:tcBorders>
              <w:top w:val="nil"/>
              <w:left w:val="nil"/>
              <w:bottom w:val="single" w:sz="4" w:space="0" w:color="auto"/>
              <w:right w:val="single" w:sz="4" w:space="0" w:color="auto"/>
            </w:tcBorders>
            <w:shd w:val="clear" w:color="auto" w:fill="auto"/>
            <w:noWrap/>
            <w:vAlign w:val="center"/>
            <w:hideMark/>
          </w:tcPr>
          <w:p w14:paraId="431728BB" w14:textId="77777777" w:rsidR="00220867" w:rsidRPr="006A4310" w:rsidRDefault="00220867" w:rsidP="006A4310">
            <w:pPr>
              <w:spacing w:after="0" w:line="240" w:lineRule="auto"/>
              <w:jc w:val="both"/>
              <w:rPr>
                <w:rFonts w:ascii="Times New Roman" w:eastAsia="Times New Roman" w:hAnsi="Times New Roman" w:cs="Times New Roman"/>
                <w:color w:val="auto"/>
                <w:sz w:val="20"/>
                <w:szCs w:val="20"/>
              </w:rPr>
            </w:pPr>
            <w:r w:rsidRPr="006A4310">
              <w:rPr>
                <w:rFonts w:ascii="Times New Roman" w:eastAsia="Times New Roman" w:hAnsi="Times New Roman" w:cs="Times New Roman"/>
                <w:color w:val="auto"/>
                <w:sz w:val="20"/>
                <w:szCs w:val="20"/>
              </w:rPr>
              <w:t>74,0%</w:t>
            </w:r>
          </w:p>
        </w:tc>
        <w:tc>
          <w:tcPr>
            <w:tcW w:w="850" w:type="dxa"/>
            <w:tcBorders>
              <w:top w:val="nil"/>
              <w:left w:val="nil"/>
              <w:bottom w:val="single" w:sz="4" w:space="0" w:color="auto"/>
              <w:right w:val="single" w:sz="4" w:space="0" w:color="auto"/>
            </w:tcBorders>
            <w:shd w:val="clear" w:color="auto" w:fill="auto"/>
            <w:noWrap/>
            <w:vAlign w:val="center"/>
            <w:hideMark/>
          </w:tcPr>
          <w:p w14:paraId="6A825809" w14:textId="77777777" w:rsidR="00220867" w:rsidRPr="006A4310" w:rsidRDefault="00220867" w:rsidP="006A4310">
            <w:pPr>
              <w:spacing w:after="0" w:line="240" w:lineRule="auto"/>
              <w:jc w:val="both"/>
              <w:rPr>
                <w:rFonts w:ascii="Times New Roman" w:eastAsia="Times New Roman" w:hAnsi="Times New Roman" w:cs="Times New Roman"/>
                <w:color w:val="auto"/>
                <w:sz w:val="20"/>
                <w:szCs w:val="20"/>
              </w:rPr>
            </w:pPr>
            <w:r w:rsidRPr="006A4310">
              <w:rPr>
                <w:rFonts w:ascii="Times New Roman" w:eastAsia="Times New Roman" w:hAnsi="Times New Roman" w:cs="Times New Roman"/>
                <w:color w:val="auto"/>
                <w:sz w:val="20"/>
                <w:szCs w:val="20"/>
              </w:rPr>
              <w:t>91%</w:t>
            </w:r>
          </w:p>
        </w:tc>
        <w:tc>
          <w:tcPr>
            <w:tcW w:w="920" w:type="dxa"/>
            <w:tcBorders>
              <w:top w:val="nil"/>
              <w:left w:val="nil"/>
              <w:bottom w:val="single" w:sz="4" w:space="0" w:color="auto"/>
              <w:right w:val="single" w:sz="4" w:space="0" w:color="auto"/>
            </w:tcBorders>
            <w:shd w:val="clear" w:color="auto" w:fill="auto"/>
            <w:noWrap/>
            <w:vAlign w:val="center"/>
            <w:hideMark/>
          </w:tcPr>
          <w:p w14:paraId="257843C3" w14:textId="77777777" w:rsidR="00220867" w:rsidRPr="006A4310" w:rsidRDefault="00220867" w:rsidP="006A4310">
            <w:pPr>
              <w:spacing w:after="0" w:line="240" w:lineRule="auto"/>
              <w:jc w:val="both"/>
              <w:rPr>
                <w:rFonts w:ascii="Times New Roman" w:eastAsia="Times New Roman" w:hAnsi="Times New Roman" w:cs="Times New Roman"/>
                <w:color w:val="auto"/>
                <w:sz w:val="20"/>
                <w:szCs w:val="20"/>
              </w:rPr>
            </w:pPr>
            <w:r w:rsidRPr="006A4310">
              <w:rPr>
                <w:rFonts w:ascii="Times New Roman" w:eastAsia="Times New Roman" w:hAnsi="Times New Roman" w:cs="Times New Roman"/>
                <w:color w:val="auto"/>
                <w:sz w:val="20"/>
                <w:szCs w:val="20"/>
              </w:rPr>
              <w:t>91%</w:t>
            </w:r>
          </w:p>
        </w:tc>
      </w:tr>
      <w:tr w:rsidR="00551413" w:rsidRPr="006A4310" w14:paraId="49760758" w14:textId="77777777" w:rsidTr="00220867">
        <w:trPr>
          <w:trHeight w:val="312"/>
        </w:trPr>
        <w:tc>
          <w:tcPr>
            <w:tcW w:w="3457" w:type="dxa"/>
            <w:tcBorders>
              <w:top w:val="nil"/>
              <w:left w:val="single" w:sz="4" w:space="0" w:color="auto"/>
              <w:bottom w:val="single" w:sz="4" w:space="0" w:color="auto"/>
              <w:right w:val="single" w:sz="4" w:space="0" w:color="auto"/>
            </w:tcBorders>
            <w:shd w:val="clear" w:color="auto" w:fill="auto"/>
            <w:noWrap/>
            <w:vAlign w:val="center"/>
            <w:hideMark/>
          </w:tcPr>
          <w:p w14:paraId="676427E2" w14:textId="77777777" w:rsidR="00220867" w:rsidRPr="006A4310" w:rsidRDefault="00220867" w:rsidP="006A4310">
            <w:pPr>
              <w:spacing w:after="0" w:line="240" w:lineRule="auto"/>
              <w:jc w:val="both"/>
              <w:rPr>
                <w:rFonts w:ascii="Times New Roman" w:eastAsia="Times New Roman" w:hAnsi="Times New Roman" w:cs="Times New Roman"/>
                <w:color w:val="auto"/>
                <w:sz w:val="20"/>
                <w:szCs w:val="20"/>
              </w:rPr>
            </w:pPr>
            <w:r w:rsidRPr="006A4310">
              <w:rPr>
                <w:rFonts w:ascii="Times New Roman" w:eastAsia="Times New Roman" w:hAnsi="Times New Roman" w:cs="Times New Roman"/>
                <w:color w:val="auto"/>
                <w:sz w:val="20"/>
                <w:szCs w:val="20"/>
              </w:rPr>
              <w:t>% de crianças completamente vacinadas</w:t>
            </w:r>
          </w:p>
        </w:tc>
        <w:tc>
          <w:tcPr>
            <w:tcW w:w="850" w:type="dxa"/>
            <w:tcBorders>
              <w:top w:val="nil"/>
              <w:left w:val="nil"/>
              <w:bottom w:val="single" w:sz="4" w:space="0" w:color="auto"/>
              <w:right w:val="single" w:sz="4" w:space="0" w:color="auto"/>
            </w:tcBorders>
            <w:shd w:val="clear" w:color="auto" w:fill="auto"/>
            <w:noWrap/>
            <w:vAlign w:val="center"/>
            <w:hideMark/>
          </w:tcPr>
          <w:p w14:paraId="085B05DC" w14:textId="77777777" w:rsidR="00220867" w:rsidRPr="006A4310" w:rsidRDefault="00220867" w:rsidP="006A4310">
            <w:pPr>
              <w:spacing w:after="0" w:line="240" w:lineRule="auto"/>
              <w:jc w:val="both"/>
              <w:rPr>
                <w:rFonts w:ascii="Times New Roman" w:eastAsia="Times New Roman" w:hAnsi="Times New Roman" w:cs="Times New Roman"/>
                <w:color w:val="auto"/>
                <w:sz w:val="20"/>
                <w:szCs w:val="20"/>
              </w:rPr>
            </w:pPr>
            <w:r w:rsidRPr="006A4310">
              <w:rPr>
                <w:rFonts w:ascii="Times New Roman" w:eastAsia="Times New Roman" w:hAnsi="Times New Roman" w:cs="Times New Roman"/>
                <w:color w:val="auto"/>
                <w:sz w:val="20"/>
                <w:szCs w:val="20"/>
              </w:rPr>
              <w:t>94%</w:t>
            </w:r>
          </w:p>
        </w:tc>
        <w:tc>
          <w:tcPr>
            <w:tcW w:w="850" w:type="dxa"/>
            <w:tcBorders>
              <w:top w:val="nil"/>
              <w:left w:val="nil"/>
              <w:bottom w:val="single" w:sz="4" w:space="0" w:color="auto"/>
              <w:right w:val="single" w:sz="4" w:space="0" w:color="auto"/>
            </w:tcBorders>
            <w:shd w:val="clear" w:color="auto" w:fill="auto"/>
            <w:noWrap/>
            <w:vAlign w:val="center"/>
            <w:hideMark/>
          </w:tcPr>
          <w:p w14:paraId="26FC8CF5" w14:textId="77777777" w:rsidR="00220867" w:rsidRPr="006A4310" w:rsidRDefault="00220867" w:rsidP="006A4310">
            <w:pPr>
              <w:spacing w:after="0" w:line="240" w:lineRule="auto"/>
              <w:jc w:val="both"/>
              <w:rPr>
                <w:rFonts w:ascii="Times New Roman" w:eastAsia="Times New Roman" w:hAnsi="Times New Roman" w:cs="Times New Roman"/>
                <w:color w:val="auto"/>
                <w:sz w:val="20"/>
                <w:szCs w:val="20"/>
              </w:rPr>
            </w:pPr>
            <w:r w:rsidRPr="006A4310">
              <w:rPr>
                <w:rFonts w:ascii="Times New Roman" w:eastAsia="Times New Roman" w:hAnsi="Times New Roman" w:cs="Times New Roman"/>
                <w:color w:val="auto"/>
                <w:sz w:val="20"/>
                <w:szCs w:val="20"/>
              </w:rPr>
              <w:t>91%</w:t>
            </w:r>
          </w:p>
        </w:tc>
        <w:tc>
          <w:tcPr>
            <w:tcW w:w="850" w:type="dxa"/>
            <w:tcBorders>
              <w:top w:val="nil"/>
              <w:left w:val="nil"/>
              <w:bottom w:val="single" w:sz="4" w:space="0" w:color="auto"/>
              <w:right w:val="single" w:sz="4" w:space="0" w:color="auto"/>
            </w:tcBorders>
            <w:shd w:val="clear" w:color="auto" w:fill="auto"/>
            <w:noWrap/>
            <w:vAlign w:val="center"/>
            <w:hideMark/>
          </w:tcPr>
          <w:p w14:paraId="41B86A25" w14:textId="77777777" w:rsidR="00220867" w:rsidRPr="006A4310" w:rsidRDefault="00220867" w:rsidP="006A4310">
            <w:pPr>
              <w:spacing w:after="0" w:line="240" w:lineRule="auto"/>
              <w:jc w:val="both"/>
              <w:rPr>
                <w:rFonts w:ascii="Times New Roman" w:eastAsia="Times New Roman" w:hAnsi="Times New Roman" w:cs="Times New Roman"/>
                <w:color w:val="auto"/>
                <w:sz w:val="20"/>
                <w:szCs w:val="20"/>
              </w:rPr>
            </w:pPr>
            <w:r w:rsidRPr="006A4310">
              <w:rPr>
                <w:rFonts w:ascii="Times New Roman" w:eastAsia="Times New Roman" w:hAnsi="Times New Roman" w:cs="Times New Roman"/>
                <w:color w:val="auto"/>
                <w:sz w:val="20"/>
                <w:szCs w:val="20"/>
              </w:rPr>
              <w:t>92%</w:t>
            </w:r>
          </w:p>
        </w:tc>
        <w:tc>
          <w:tcPr>
            <w:tcW w:w="780" w:type="dxa"/>
            <w:tcBorders>
              <w:top w:val="nil"/>
              <w:left w:val="nil"/>
              <w:bottom w:val="single" w:sz="4" w:space="0" w:color="auto"/>
              <w:right w:val="single" w:sz="4" w:space="0" w:color="auto"/>
            </w:tcBorders>
            <w:shd w:val="clear" w:color="auto" w:fill="auto"/>
            <w:noWrap/>
            <w:vAlign w:val="center"/>
            <w:hideMark/>
          </w:tcPr>
          <w:p w14:paraId="5ACCF0CC" w14:textId="77777777" w:rsidR="00220867" w:rsidRPr="006A4310" w:rsidRDefault="00220867" w:rsidP="006A4310">
            <w:pPr>
              <w:spacing w:after="0" w:line="240" w:lineRule="auto"/>
              <w:jc w:val="both"/>
              <w:rPr>
                <w:rFonts w:ascii="Times New Roman" w:eastAsia="Times New Roman" w:hAnsi="Times New Roman" w:cs="Times New Roman"/>
                <w:color w:val="auto"/>
                <w:sz w:val="20"/>
                <w:szCs w:val="20"/>
              </w:rPr>
            </w:pPr>
            <w:r w:rsidRPr="006A4310">
              <w:rPr>
                <w:rFonts w:ascii="Times New Roman" w:eastAsia="Times New Roman" w:hAnsi="Times New Roman" w:cs="Times New Roman"/>
                <w:color w:val="auto"/>
                <w:sz w:val="20"/>
                <w:szCs w:val="20"/>
              </w:rPr>
              <w:t>84%</w:t>
            </w:r>
          </w:p>
        </w:tc>
        <w:tc>
          <w:tcPr>
            <w:tcW w:w="752" w:type="dxa"/>
            <w:tcBorders>
              <w:top w:val="nil"/>
              <w:left w:val="nil"/>
              <w:bottom w:val="single" w:sz="4" w:space="0" w:color="auto"/>
              <w:right w:val="single" w:sz="4" w:space="0" w:color="auto"/>
            </w:tcBorders>
            <w:shd w:val="clear" w:color="auto" w:fill="auto"/>
            <w:noWrap/>
            <w:vAlign w:val="center"/>
            <w:hideMark/>
          </w:tcPr>
          <w:p w14:paraId="033E9668" w14:textId="77777777" w:rsidR="00220867" w:rsidRPr="006A4310" w:rsidRDefault="00220867" w:rsidP="006A4310">
            <w:pPr>
              <w:spacing w:after="0" w:line="240" w:lineRule="auto"/>
              <w:jc w:val="both"/>
              <w:rPr>
                <w:rFonts w:ascii="Times New Roman" w:eastAsia="Times New Roman" w:hAnsi="Times New Roman" w:cs="Times New Roman"/>
                <w:color w:val="auto"/>
                <w:sz w:val="20"/>
                <w:szCs w:val="20"/>
              </w:rPr>
            </w:pPr>
            <w:r w:rsidRPr="006A4310">
              <w:rPr>
                <w:rFonts w:ascii="Times New Roman" w:eastAsia="Times New Roman" w:hAnsi="Times New Roman" w:cs="Times New Roman"/>
                <w:color w:val="auto"/>
                <w:sz w:val="20"/>
                <w:szCs w:val="20"/>
              </w:rPr>
              <w:t>92%</w:t>
            </w:r>
          </w:p>
        </w:tc>
        <w:tc>
          <w:tcPr>
            <w:tcW w:w="850" w:type="dxa"/>
            <w:tcBorders>
              <w:top w:val="nil"/>
              <w:left w:val="nil"/>
              <w:bottom w:val="single" w:sz="4" w:space="0" w:color="auto"/>
              <w:right w:val="single" w:sz="4" w:space="0" w:color="auto"/>
            </w:tcBorders>
            <w:shd w:val="clear" w:color="auto" w:fill="auto"/>
            <w:noWrap/>
            <w:vAlign w:val="center"/>
            <w:hideMark/>
          </w:tcPr>
          <w:p w14:paraId="131CD486" w14:textId="77777777" w:rsidR="00220867" w:rsidRPr="006A4310" w:rsidRDefault="00220867" w:rsidP="006A4310">
            <w:pPr>
              <w:spacing w:after="0" w:line="240" w:lineRule="auto"/>
              <w:jc w:val="both"/>
              <w:rPr>
                <w:rFonts w:ascii="Times New Roman" w:eastAsia="Times New Roman" w:hAnsi="Times New Roman" w:cs="Times New Roman"/>
                <w:color w:val="auto"/>
                <w:sz w:val="20"/>
                <w:szCs w:val="20"/>
              </w:rPr>
            </w:pPr>
            <w:r w:rsidRPr="006A4310">
              <w:rPr>
                <w:rFonts w:ascii="Times New Roman" w:eastAsia="Times New Roman" w:hAnsi="Times New Roman" w:cs="Times New Roman"/>
                <w:color w:val="auto"/>
                <w:sz w:val="20"/>
                <w:szCs w:val="20"/>
              </w:rPr>
              <w:t>96%</w:t>
            </w:r>
          </w:p>
        </w:tc>
        <w:tc>
          <w:tcPr>
            <w:tcW w:w="920" w:type="dxa"/>
            <w:tcBorders>
              <w:top w:val="nil"/>
              <w:left w:val="nil"/>
              <w:bottom w:val="single" w:sz="4" w:space="0" w:color="auto"/>
              <w:right w:val="single" w:sz="4" w:space="0" w:color="auto"/>
            </w:tcBorders>
            <w:shd w:val="clear" w:color="auto" w:fill="auto"/>
            <w:noWrap/>
            <w:vAlign w:val="center"/>
            <w:hideMark/>
          </w:tcPr>
          <w:p w14:paraId="5411C9C2" w14:textId="77777777" w:rsidR="00220867" w:rsidRPr="006A4310" w:rsidRDefault="00220867" w:rsidP="006A4310">
            <w:pPr>
              <w:spacing w:after="0" w:line="240" w:lineRule="auto"/>
              <w:jc w:val="both"/>
              <w:rPr>
                <w:rFonts w:ascii="Times New Roman" w:eastAsia="Times New Roman" w:hAnsi="Times New Roman" w:cs="Times New Roman"/>
                <w:color w:val="auto"/>
                <w:sz w:val="20"/>
                <w:szCs w:val="20"/>
              </w:rPr>
            </w:pPr>
            <w:r w:rsidRPr="006A4310">
              <w:rPr>
                <w:rFonts w:ascii="Times New Roman" w:eastAsia="Times New Roman" w:hAnsi="Times New Roman" w:cs="Times New Roman"/>
                <w:color w:val="auto"/>
                <w:sz w:val="20"/>
                <w:szCs w:val="20"/>
              </w:rPr>
              <w:t>96%</w:t>
            </w:r>
          </w:p>
        </w:tc>
      </w:tr>
      <w:tr w:rsidR="00551413" w:rsidRPr="006A4310" w14:paraId="26AAD4BE" w14:textId="77777777" w:rsidTr="00220867">
        <w:trPr>
          <w:trHeight w:val="625"/>
        </w:trPr>
        <w:tc>
          <w:tcPr>
            <w:tcW w:w="3457" w:type="dxa"/>
            <w:tcBorders>
              <w:top w:val="nil"/>
              <w:left w:val="single" w:sz="4" w:space="0" w:color="auto"/>
              <w:bottom w:val="single" w:sz="4" w:space="0" w:color="auto"/>
              <w:right w:val="single" w:sz="4" w:space="0" w:color="auto"/>
            </w:tcBorders>
            <w:shd w:val="clear" w:color="auto" w:fill="auto"/>
            <w:vAlign w:val="center"/>
            <w:hideMark/>
          </w:tcPr>
          <w:p w14:paraId="50049C13" w14:textId="77777777" w:rsidR="00220867" w:rsidRPr="006A4310" w:rsidRDefault="00220867" w:rsidP="006A4310">
            <w:pPr>
              <w:spacing w:after="0" w:line="240" w:lineRule="auto"/>
              <w:jc w:val="both"/>
              <w:rPr>
                <w:rFonts w:ascii="Times New Roman" w:eastAsia="Times New Roman" w:hAnsi="Times New Roman" w:cs="Times New Roman"/>
                <w:color w:val="auto"/>
                <w:sz w:val="20"/>
                <w:szCs w:val="20"/>
              </w:rPr>
            </w:pPr>
            <w:r w:rsidRPr="006A4310">
              <w:rPr>
                <w:rFonts w:ascii="Times New Roman" w:eastAsia="Times New Roman" w:hAnsi="Times New Roman" w:cs="Times New Roman"/>
                <w:color w:val="auto"/>
                <w:sz w:val="20"/>
                <w:szCs w:val="20"/>
              </w:rPr>
              <w:t>reduzida a morbi mortalidade por Malária através de métodos preventivos PIDOM</w:t>
            </w:r>
          </w:p>
        </w:tc>
        <w:tc>
          <w:tcPr>
            <w:tcW w:w="850" w:type="dxa"/>
            <w:tcBorders>
              <w:top w:val="nil"/>
              <w:left w:val="nil"/>
              <w:bottom w:val="single" w:sz="4" w:space="0" w:color="auto"/>
              <w:right w:val="single" w:sz="4" w:space="0" w:color="auto"/>
            </w:tcBorders>
            <w:shd w:val="clear" w:color="auto" w:fill="auto"/>
            <w:noWrap/>
            <w:vAlign w:val="center"/>
            <w:hideMark/>
          </w:tcPr>
          <w:p w14:paraId="5BE46E53" w14:textId="77777777" w:rsidR="00220867" w:rsidRPr="006A4310" w:rsidRDefault="00220867" w:rsidP="006A4310">
            <w:pPr>
              <w:spacing w:after="0" w:line="240" w:lineRule="auto"/>
              <w:jc w:val="both"/>
              <w:rPr>
                <w:rFonts w:ascii="Times New Roman" w:eastAsia="Times New Roman" w:hAnsi="Times New Roman" w:cs="Times New Roman"/>
                <w:color w:val="auto"/>
                <w:sz w:val="20"/>
                <w:szCs w:val="20"/>
              </w:rPr>
            </w:pPr>
            <w:r w:rsidRPr="006A4310">
              <w:rPr>
                <w:rFonts w:ascii="Times New Roman" w:eastAsia="Times New Roman" w:hAnsi="Times New Roman" w:cs="Times New Roman"/>
                <w:color w:val="auto"/>
                <w:sz w:val="20"/>
                <w:szCs w:val="20"/>
              </w:rPr>
              <w:t xml:space="preserve">     1.126.579 </w:t>
            </w:r>
          </w:p>
        </w:tc>
        <w:tc>
          <w:tcPr>
            <w:tcW w:w="850" w:type="dxa"/>
            <w:tcBorders>
              <w:top w:val="nil"/>
              <w:left w:val="nil"/>
              <w:bottom w:val="single" w:sz="4" w:space="0" w:color="auto"/>
              <w:right w:val="single" w:sz="4" w:space="0" w:color="auto"/>
            </w:tcBorders>
            <w:shd w:val="clear" w:color="auto" w:fill="auto"/>
            <w:noWrap/>
            <w:vAlign w:val="center"/>
            <w:hideMark/>
          </w:tcPr>
          <w:p w14:paraId="656955CB" w14:textId="77777777" w:rsidR="00220867" w:rsidRPr="006A4310" w:rsidRDefault="00220867" w:rsidP="006A4310">
            <w:pPr>
              <w:spacing w:after="0" w:line="240" w:lineRule="auto"/>
              <w:jc w:val="both"/>
              <w:rPr>
                <w:rFonts w:ascii="Times New Roman" w:eastAsia="Times New Roman" w:hAnsi="Times New Roman" w:cs="Times New Roman"/>
                <w:color w:val="auto"/>
                <w:sz w:val="20"/>
                <w:szCs w:val="20"/>
              </w:rPr>
            </w:pPr>
            <w:r w:rsidRPr="006A4310">
              <w:rPr>
                <w:rFonts w:ascii="Times New Roman" w:eastAsia="Times New Roman" w:hAnsi="Times New Roman" w:cs="Times New Roman"/>
                <w:color w:val="auto"/>
                <w:sz w:val="20"/>
                <w:szCs w:val="20"/>
              </w:rPr>
              <w:t xml:space="preserve">     6.548.168 </w:t>
            </w:r>
          </w:p>
        </w:tc>
        <w:tc>
          <w:tcPr>
            <w:tcW w:w="850" w:type="dxa"/>
            <w:tcBorders>
              <w:top w:val="nil"/>
              <w:left w:val="nil"/>
              <w:bottom w:val="single" w:sz="4" w:space="0" w:color="auto"/>
              <w:right w:val="single" w:sz="4" w:space="0" w:color="auto"/>
            </w:tcBorders>
            <w:shd w:val="clear" w:color="auto" w:fill="auto"/>
            <w:noWrap/>
            <w:vAlign w:val="center"/>
            <w:hideMark/>
          </w:tcPr>
          <w:p w14:paraId="150D3F50" w14:textId="77777777" w:rsidR="00220867" w:rsidRPr="006A4310" w:rsidRDefault="00220867" w:rsidP="006A4310">
            <w:pPr>
              <w:spacing w:after="0" w:line="240" w:lineRule="auto"/>
              <w:jc w:val="both"/>
              <w:rPr>
                <w:rFonts w:ascii="Times New Roman" w:eastAsia="Times New Roman" w:hAnsi="Times New Roman" w:cs="Times New Roman"/>
                <w:color w:val="auto"/>
                <w:sz w:val="20"/>
                <w:szCs w:val="20"/>
              </w:rPr>
            </w:pPr>
            <w:r w:rsidRPr="006A4310">
              <w:rPr>
                <w:rFonts w:ascii="Times New Roman" w:eastAsia="Times New Roman" w:hAnsi="Times New Roman" w:cs="Times New Roman"/>
                <w:color w:val="auto"/>
                <w:sz w:val="20"/>
                <w:szCs w:val="20"/>
              </w:rPr>
              <w:t xml:space="preserve">     5.489.054 </w:t>
            </w:r>
          </w:p>
        </w:tc>
        <w:tc>
          <w:tcPr>
            <w:tcW w:w="780" w:type="dxa"/>
            <w:tcBorders>
              <w:top w:val="nil"/>
              <w:left w:val="nil"/>
              <w:bottom w:val="single" w:sz="4" w:space="0" w:color="auto"/>
              <w:right w:val="single" w:sz="4" w:space="0" w:color="auto"/>
            </w:tcBorders>
            <w:shd w:val="clear" w:color="auto" w:fill="auto"/>
            <w:noWrap/>
            <w:vAlign w:val="center"/>
            <w:hideMark/>
          </w:tcPr>
          <w:p w14:paraId="3842AF7D" w14:textId="77777777" w:rsidR="00220867" w:rsidRPr="006A4310" w:rsidRDefault="00220867" w:rsidP="006A4310">
            <w:pPr>
              <w:spacing w:after="0" w:line="240" w:lineRule="auto"/>
              <w:jc w:val="both"/>
              <w:rPr>
                <w:rFonts w:ascii="Times New Roman" w:eastAsia="Times New Roman" w:hAnsi="Times New Roman" w:cs="Times New Roman"/>
                <w:color w:val="auto"/>
                <w:sz w:val="20"/>
                <w:szCs w:val="20"/>
              </w:rPr>
            </w:pPr>
            <w:r w:rsidRPr="006A4310">
              <w:rPr>
                <w:rFonts w:ascii="Times New Roman" w:eastAsia="Times New Roman" w:hAnsi="Times New Roman" w:cs="Times New Roman"/>
                <w:color w:val="auto"/>
                <w:sz w:val="20"/>
                <w:szCs w:val="20"/>
              </w:rPr>
              <w:t xml:space="preserve">   6.811.033 </w:t>
            </w:r>
          </w:p>
        </w:tc>
        <w:tc>
          <w:tcPr>
            <w:tcW w:w="752" w:type="dxa"/>
            <w:tcBorders>
              <w:top w:val="nil"/>
              <w:left w:val="nil"/>
              <w:bottom w:val="single" w:sz="4" w:space="0" w:color="auto"/>
              <w:right w:val="single" w:sz="4" w:space="0" w:color="auto"/>
            </w:tcBorders>
            <w:shd w:val="clear" w:color="auto" w:fill="auto"/>
            <w:noWrap/>
            <w:vAlign w:val="center"/>
            <w:hideMark/>
          </w:tcPr>
          <w:p w14:paraId="71531690" w14:textId="77777777" w:rsidR="00220867" w:rsidRPr="006A4310" w:rsidRDefault="00220867" w:rsidP="006A4310">
            <w:pPr>
              <w:spacing w:after="0" w:line="240" w:lineRule="auto"/>
              <w:jc w:val="both"/>
              <w:rPr>
                <w:rFonts w:ascii="Times New Roman" w:eastAsia="Times New Roman" w:hAnsi="Times New Roman" w:cs="Times New Roman"/>
                <w:color w:val="auto"/>
                <w:sz w:val="20"/>
                <w:szCs w:val="20"/>
              </w:rPr>
            </w:pPr>
            <w:r w:rsidRPr="006A4310">
              <w:rPr>
                <w:rFonts w:ascii="Times New Roman" w:eastAsia="Times New Roman" w:hAnsi="Times New Roman" w:cs="Times New Roman"/>
                <w:color w:val="auto"/>
                <w:sz w:val="20"/>
                <w:szCs w:val="20"/>
              </w:rPr>
              <w:t xml:space="preserve"> ND </w:t>
            </w:r>
          </w:p>
        </w:tc>
        <w:tc>
          <w:tcPr>
            <w:tcW w:w="850" w:type="dxa"/>
            <w:tcBorders>
              <w:top w:val="nil"/>
              <w:left w:val="nil"/>
              <w:bottom w:val="single" w:sz="4" w:space="0" w:color="auto"/>
              <w:right w:val="single" w:sz="4" w:space="0" w:color="auto"/>
            </w:tcBorders>
            <w:shd w:val="clear" w:color="auto" w:fill="auto"/>
            <w:noWrap/>
            <w:vAlign w:val="center"/>
            <w:hideMark/>
          </w:tcPr>
          <w:p w14:paraId="1B958F72" w14:textId="77777777" w:rsidR="00220867" w:rsidRPr="006A4310" w:rsidRDefault="00220867" w:rsidP="006A4310">
            <w:pPr>
              <w:spacing w:after="0" w:line="240" w:lineRule="auto"/>
              <w:jc w:val="both"/>
              <w:rPr>
                <w:rFonts w:ascii="Times New Roman" w:eastAsia="Times New Roman" w:hAnsi="Times New Roman" w:cs="Times New Roman"/>
                <w:color w:val="auto"/>
                <w:sz w:val="20"/>
                <w:szCs w:val="20"/>
              </w:rPr>
            </w:pPr>
            <w:r w:rsidRPr="006A4310">
              <w:rPr>
                <w:rFonts w:ascii="Times New Roman" w:eastAsia="Times New Roman" w:hAnsi="Times New Roman" w:cs="Times New Roman"/>
                <w:color w:val="auto"/>
                <w:sz w:val="20"/>
                <w:szCs w:val="20"/>
              </w:rPr>
              <w:t xml:space="preserve">     4.831.008 </w:t>
            </w:r>
          </w:p>
        </w:tc>
        <w:tc>
          <w:tcPr>
            <w:tcW w:w="920" w:type="dxa"/>
            <w:tcBorders>
              <w:top w:val="nil"/>
              <w:left w:val="nil"/>
              <w:bottom w:val="single" w:sz="4" w:space="0" w:color="auto"/>
              <w:right w:val="single" w:sz="4" w:space="0" w:color="auto"/>
            </w:tcBorders>
            <w:shd w:val="clear" w:color="auto" w:fill="auto"/>
            <w:noWrap/>
            <w:vAlign w:val="center"/>
            <w:hideMark/>
          </w:tcPr>
          <w:p w14:paraId="53ACC914" w14:textId="77777777" w:rsidR="00220867" w:rsidRPr="006A4310" w:rsidRDefault="00220867" w:rsidP="006A4310">
            <w:pPr>
              <w:spacing w:after="0" w:line="240" w:lineRule="auto"/>
              <w:jc w:val="both"/>
              <w:rPr>
                <w:rFonts w:ascii="Times New Roman" w:eastAsia="Times New Roman" w:hAnsi="Times New Roman" w:cs="Times New Roman"/>
                <w:color w:val="auto"/>
                <w:sz w:val="20"/>
                <w:szCs w:val="20"/>
              </w:rPr>
            </w:pPr>
            <w:r w:rsidRPr="006A4310">
              <w:rPr>
                <w:rFonts w:ascii="Times New Roman" w:eastAsia="Times New Roman" w:hAnsi="Times New Roman" w:cs="Times New Roman"/>
                <w:color w:val="auto"/>
                <w:sz w:val="20"/>
                <w:szCs w:val="20"/>
              </w:rPr>
              <w:t xml:space="preserve">       4.831.008 </w:t>
            </w:r>
          </w:p>
        </w:tc>
      </w:tr>
      <w:tr w:rsidR="00551413" w:rsidRPr="006A4310" w14:paraId="762534C8" w14:textId="77777777" w:rsidTr="00220867">
        <w:trPr>
          <w:trHeight w:val="625"/>
        </w:trPr>
        <w:tc>
          <w:tcPr>
            <w:tcW w:w="3457" w:type="dxa"/>
            <w:tcBorders>
              <w:top w:val="nil"/>
              <w:left w:val="single" w:sz="4" w:space="0" w:color="auto"/>
              <w:bottom w:val="single" w:sz="4" w:space="0" w:color="auto"/>
              <w:right w:val="single" w:sz="4" w:space="0" w:color="auto"/>
            </w:tcBorders>
            <w:shd w:val="clear" w:color="auto" w:fill="auto"/>
            <w:vAlign w:val="center"/>
            <w:hideMark/>
          </w:tcPr>
          <w:p w14:paraId="02B033A6" w14:textId="77777777" w:rsidR="00220867" w:rsidRPr="006A4310" w:rsidRDefault="00220867" w:rsidP="006A4310">
            <w:pPr>
              <w:spacing w:after="0" w:line="240" w:lineRule="auto"/>
              <w:jc w:val="both"/>
              <w:rPr>
                <w:rFonts w:ascii="Times New Roman" w:eastAsia="Times New Roman" w:hAnsi="Times New Roman" w:cs="Times New Roman"/>
                <w:color w:val="auto"/>
                <w:sz w:val="20"/>
                <w:szCs w:val="20"/>
              </w:rPr>
            </w:pPr>
            <w:r w:rsidRPr="006A4310">
              <w:rPr>
                <w:rFonts w:ascii="Times New Roman" w:eastAsia="Times New Roman" w:hAnsi="Times New Roman" w:cs="Times New Roman"/>
                <w:color w:val="auto"/>
                <w:sz w:val="20"/>
                <w:szCs w:val="20"/>
              </w:rPr>
              <w:t>reduzida a morbi mortalidade por Malária através de métodos preventivos REMILDS</w:t>
            </w:r>
          </w:p>
        </w:tc>
        <w:tc>
          <w:tcPr>
            <w:tcW w:w="850" w:type="dxa"/>
            <w:tcBorders>
              <w:top w:val="nil"/>
              <w:left w:val="nil"/>
              <w:bottom w:val="single" w:sz="4" w:space="0" w:color="auto"/>
              <w:right w:val="single" w:sz="4" w:space="0" w:color="auto"/>
            </w:tcBorders>
            <w:shd w:val="clear" w:color="auto" w:fill="auto"/>
            <w:noWrap/>
            <w:vAlign w:val="center"/>
            <w:hideMark/>
          </w:tcPr>
          <w:p w14:paraId="3CBA2ABE" w14:textId="77777777" w:rsidR="00220867" w:rsidRPr="006A4310" w:rsidRDefault="00220867" w:rsidP="006A4310">
            <w:pPr>
              <w:spacing w:after="0" w:line="240" w:lineRule="auto"/>
              <w:jc w:val="both"/>
              <w:rPr>
                <w:rFonts w:ascii="Times New Roman" w:eastAsia="Times New Roman" w:hAnsi="Times New Roman" w:cs="Times New Roman"/>
                <w:color w:val="auto"/>
                <w:sz w:val="20"/>
                <w:szCs w:val="20"/>
              </w:rPr>
            </w:pPr>
            <w:r w:rsidRPr="006A4310">
              <w:rPr>
                <w:rFonts w:ascii="Times New Roman" w:eastAsia="Times New Roman" w:hAnsi="Times New Roman" w:cs="Times New Roman"/>
                <w:color w:val="auto"/>
                <w:sz w:val="20"/>
                <w:szCs w:val="20"/>
              </w:rPr>
              <w:t xml:space="preserve">     1.576.187 </w:t>
            </w:r>
          </w:p>
        </w:tc>
        <w:tc>
          <w:tcPr>
            <w:tcW w:w="850" w:type="dxa"/>
            <w:tcBorders>
              <w:top w:val="nil"/>
              <w:left w:val="nil"/>
              <w:bottom w:val="single" w:sz="4" w:space="0" w:color="auto"/>
              <w:right w:val="single" w:sz="4" w:space="0" w:color="auto"/>
            </w:tcBorders>
            <w:shd w:val="clear" w:color="auto" w:fill="auto"/>
            <w:noWrap/>
            <w:vAlign w:val="center"/>
            <w:hideMark/>
          </w:tcPr>
          <w:p w14:paraId="4D0680C9" w14:textId="77777777" w:rsidR="00220867" w:rsidRPr="006A4310" w:rsidRDefault="00220867" w:rsidP="006A4310">
            <w:pPr>
              <w:spacing w:after="0" w:line="240" w:lineRule="auto"/>
              <w:jc w:val="both"/>
              <w:rPr>
                <w:rFonts w:ascii="Times New Roman" w:eastAsia="Times New Roman" w:hAnsi="Times New Roman" w:cs="Times New Roman"/>
                <w:color w:val="auto"/>
                <w:sz w:val="20"/>
                <w:szCs w:val="20"/>
              </w:rPr>
            </w:pPr>
            <w:r w:rsidRPr="006A4310">
              <w:rPr>
                <w:rFonts w:ascii="Times New Roman" w:eastAsia="Times New Roman" w:hAnsi="Times New Roman" w:cs="Times New Roman"/>
                <w:color w:val="auto"/>
                <w:sz w:val="20"/>
                <w:szCs w:val="20"/>
              </w:rPr>
              <w:t xml:space="preserve">     1.223.925 </w:t>
            </w:r>
          </w:p>
        </w:tc>
        <w:tc>
          <w:tcPr>
            <w:tcW w:w="850" w:type="dxa"/>
            <w:tcBorders>
              <w:top w:val="nil"/>
              <w:left w:val="nil"/>
              <w:bottom w:val="single" w:sz="4" w:space="0" w:color="auto"/>
              <w:right w:val="single" w:sz="4" w:space="0" w:color="auto"/>
            </w:tcBorders>
            <w:shd w:val="clear" w:color="auto" w:fill="auto"/>
            <w:noWrap/>
            <w:vAlign w:val="center"/>
            <w:hideMark/>
          </w:tcPr>
          <w:p w14:paraId="0D876D9F" w14:textId="77777777" w:rsidR="00220867" w:rsidRPr="006A4310" w:rsidRDefault="00220867" w:rsidP="006A4310">
            <w:pPr>
              <w:spacing w:after="0" w:line="240" w:lineRule="auto"/>
              <w:jc w:val="both"/>
              <w:rPr>
                <w:rFonts w:ascii="Times New Roman" w:eastAsia="Times New Roman" w:hAnsi="Times New Roman" w:cs="Times New Roman"/>
                <w:color w:val="auto"/>
                <w:sz w:val="20"/>
                <w:szCs w:val="20"/>
              </w:rPr>
            </w:pPr>
            <w:r w:rsidRPr="006A4310">
              <w:rPr>
                <w:rFonts w:ascii="Times New Roman" w:eastAsia="Times New Roman" w:hAnsi="Times New Roman" w:cs="Times New Roman"/>
                <w:color w:val="auto"/>
                <w:sz w:val="20"/>
                <w:szCs w:val="20"/>
              </w:rPr>
              <w:t xml:space="preserve">     1.596.341 </w:t>
            </w:r>
          </w:p>
        </w:tc>
        <w:tc>
          <w:tcPr>
            <w:tcW w:w="780" w:type="dxa"/>
            <w:tcBorders>
              <w:top w:val="nil"/>
              <w:left w:val="nil"/>
              <w:bottom w:val="single" w:sz="4" w:space="0" w:color="auto"/>
              <w:right w:val="single" w:sz="4" w:space="0" w:color="auto"/>
            </w:tcBorders>
            <w:shd w:val="clear" w:color="auto" w:fill="auto"/>
            <w:noWrap/>
            <w:vAlign w:val="center"/>
            <w:hideMark/>
          </w:tcPr>
          <w:p w14:paraId="1F8534FF" w14:textId="77777777" w:rsidR="00220867" w:rsidRPr="006A4310" w:rsidRDefault="00220867" w:rsidP="006A4310">
            <w:pPr>
              <w:spacing w:after="0" w:line="240" w:lineRule="auto"/>
              <w:jc w:val="both"/>
              <w:rPr>
                <w:rFonts w:ascii="Times New Roman" w:eastAsia="Times New Roman" w:hAnsi="Times New Roman" w:cs="Times New Roman"/>
                <w:color w:val="auto"/>
                <w:sz w:val="20"/>
                <w:szCs w:val="20"/>
              </w:rPr>
            </w:pPr>
            <w:r w:rsidRPr="006A4310">
              <w:rPr>
                <w:rFonts w:ascii="Times New Roman" w:eastAsia="Times New Roman" w:hAnsi="Times New Roman" w:cs="Times New Roman"/>
                <w:color w:val="auto"/>
                <w:sz w:val="20"/>
                <w:szCs w:val="20"/>
              </w:rPr>
              <w:t xml:space="preserve">   1.787.171 </w:t>
            </w:r>
          </w:p>
        </w:tc>
        <w:tc>
          <w:tcPr>
            <w:tcW w:w="752" w:type="dxa"/>
            <w:tcBorders>
              <w:top w:val="nil"/>
              <w:left w:val="nil"/>
              <w:bottom w:val="single" w:sz="4" w:space="0" w:color="auto"/>
              <w:right w:val="single" w:sz="4" w:space="0" w:color="auto"/>
            </w:tcBorders>
            <w:shd w:val="clear" w:color="auto" w:fill="auto"/>
            <w:noWrap/>
            <w:vAlign w:val="center"/>
            <w:hideMark/>
          </w:tcPr>
          <w:p w14:paraId="544ED202" w14:textId="77777777" w:rsidR="00220867" w:rsidRPr="006A4310" w:rsidRDefault="00220867" w:rsidP="006A4310">
            <w:pPr>
              <w:spacing w:after="0" w:line="240" w:lineRule="auto"/>
              <w:jc w:val="both"/>
              <w:rPr>
                <w:rFonts w:ascii="Times New Roman" w:eastAsia="Times New Roman" w:hAnsi="Times New Roman" w:cs="Times New Roman"/>
                <w:color w:val="auto"/>
                <w:sz w:val="20"/>
                <w:szCs w:val="20"/>
              </w:rPr>
            </w:pPr>
            <w:r w:rsidRPr="006A4310">
              <w:rPr>
                <w:rFonts w:ascii="Times New Roman" w:eastAsia="Times New Roman" w:hAnsi="Times New Roman" w:cs="Times New Roman"/>
                <w:color w:val="auto"/>
                <w:sz w:val="20"/>
                <w:szCs w:val="20"/>
              </w:rPr>
              <w:t xml:space="preserve">      674.919 </w:t>
            </w:r>
          </w:p>
        </w:tc>
        <w:tc>
          <w:tcPr>
            <w:tcW w:w="850" w:type="dxa"/>
            <w:tcBorders>
              <w:top w:val="nil"/>
              <w:left w:val="nil"/>
              <w:bottom w:val="single" w:sz="4" w:space="0" w:color="auto"/>
              <w:right w:val="single" w:sz="4" w:space="0" w:color="auto"/>
            </w:tcBorders>
            <w:shd w:val="clear" w:color="auto" w:fill="auto"/>
            <w:noWrap/>
            <w:vAlign w:val="center"/>
            <w:hideMark/>
          </w:tcPr>
          <w:p w14:paraId="6EDB797B" w14:textId="77777777" w:rsidR="00220867" w:rsidRPr="006A4310" w:rsidRDefault="00220867" w:rsidP="006A4310">
            <w:pPr>
              <w:spacing w:after="0" w:line="240" w:lineRule="auto"/>
              <w:jc w:val="both"/>
              <w:rPr>
                <w:rFonts w:ascii="Times New Roman" w:eastAsia="Times New Roman" w:hAnsi="Times New Roman" w:cs="Times New Roman"/>
                <w:color w:val="auto"/>
                <w:sz w:val="20"/>
                <w:szCs w:val="20"/>
              </w:rPr>
            </w:pPr>
            <w:r w:rsidRPr="006A4310">
              <w:rPr>
                <w:rFonts w:ascii="Times New Roman" w:eastAsia="Times New Roman" w:hAnsi="Times New Roman" w:cs="Times New Roman"/>
                <w:color w:val="auto"/>
                <w:sz w:val="20"/>
                <w:szCs w:val="20"/>
              </w:rPr>
              <w:t xml:space="preserve">     1.612.354 </w:t>
            </w:r>
          </w:p>
        </w:tc>
        <w:tc>
          <w:tcPr>
            <w:tcW w:w="920" w:type="dxa"/>
            <w:tcBorders>
              <w:top w:val="nil"/>
              <w:left w:val="nil"/>
              <w:bottom w:val="single" w:sz="4" w:space="0" w:color="auto"/>
              <w:right w:val="single" w:sz="4" w:space="0" w:color="auto"/>
            </w:tcBorders>
            <w:shd w:val="clear" w:color="auto" w:fill="auto"/>
            <w:noWrap/>
            <w:vAlign w:val="center"/>
            <w:hideMark/>
          </w:tcPr>
          <w:p w14:paraId="74D04CF4" w14:textId="77777777" w:rsidR="00220867" w:rsidRPr="006A4310" w:rsidRDefault="00220867" w:rsidP="006A4310">
            <w:pPr>
              <w:spacing w:after="0" w:line="240" w:lineRule="auto"/>
              <w:jc w:val="both"/>
              <w:rPr>
                <w:rFonts w:ascii="Times New Roman" w:eastAsia="Times New Roman" w:hAnsi="Times New Roman" w:cs="Times New Roman"/>
                <w:color w:val="auto"/>
                <w:sz w:val="20"/>
                <w:szCs w:val="20"/>
              </w:rPr>
            </w:pPr>
            <w:r w:rsidRPr="006A4310">
              <w:rPr>
                <w:rFonts w:ascii="Times New Roman" w:eastAsia="Times New Roman" w:hAnsi="Times New Roman" w:cs="Times New Roman"/>
                <w:color w:val="auto"/>
                <w:sz w:val="20"/>
                <w:szCs w:val="20"/>
              </w:rPr>
              <w:t xml:space="preserve">       1.537.802 </w:t>
            </w:r>
          </w:p>
        </w:tc>
      </w:tr>
    </w:tbl>
    <w:p w14:paraId="55A1BF34" w14:textId="0A56D7D2" w:rsidR="00B45A51" w:rsidRPr="00581281" w:rsidRDefault="00BA3D83" w:rsidP="00581281">
      <w:pPr>
        <w:keepNext/>
        <w:spacing w:line="360" w:lineRule="auto"/>
        <w:jc w:val="both"/>
        <w:rPr>
          <w:rFonts w:ascii="Times New Roman" w:hAnsi="Times New Roman" w:cs="Times New Roman"/>
          <w:i/>
          <w:color w:val="auto"/>
        </w:rPr>
      </w:pPr>
      <w:r w:rsidRPr="00581281">
        <w:rPr>
          <w:rFonts w:ascii="Times New Roman" w:hAnsi="Times New Roman" w:cs="Times New Roman"/>
          <w:i/>
          <w:color w:val="auto"/>
        </w:rPr>
        <w:t xml:space="preserve">Fonte: BdPESOE 2023, CGE </w:t>
      </w:r>
      <w:r w:rsidR="00C53D01">
        <w:rPr>
          <w:rFonts w:ascii="Times New Roman" w:hAnsi="Times New Roman" w:cs="Times New Roman"/>
          <w:i/>
          <w:color w:val="auto"/>
        </w:rPr>
        <w:t xml:space="preserve">(2019 a 2022), PQG 2020-2024 e </w:t>
      </w:r>
      <w:r w:rsidRPr="00581281">
        <w:rPr>
          <w:rFonts w:ascii="Times New Roman" w:hAnsi="Times New Roman" w:cs="Times New Roman"/>
          <w:i/>
          <w:color w:val="auto"/>
        </w:rPr>
        <w:t>PESOE 2024</w:t>
      </w:r>
    </w:p>
    <w:p w14:paraId="3D999934" w14:textId="77777777" w:rsidR="00070213" w:rsidRPr="00581281" w:rsidRDefault="00BA3D83" w:rsidP="00581281">
      <w:pPr>
        <w:numPr>
          <w:ilvl w:val="0"/>
          <w:numId w:val="8"/>
        </w:numPr>
        <w:pBdr>
          <w:top w:val="nil"/>
          <w:left w:val="nil"/>
          <w:bottom w:val="nil"/>
          <w:right w:val="nil"/>
          <w:between w:val="nil"/>
        </w:pBdr>
        <w:spacing w:after="0" w:line="360" w:lineRule="auto"/>
        <w:jc w:val="both"/>
        <w:rPr>
          <w:rFonts w:ascii="Times New Roman" w:hAnsi="Times New Roman" w:cs="Times New Roman"/>
          <w:b/>
          <w:color w:val="auto"/>
        </w:rPr>
      </w:pPr>
      <w:r w:rsidRPr="00581281">
        <w:rPr>
          <w:rFonts w:ascii="Times New Roman" w:hAnsi="Times New Roman" w:cs="Times New Roman"/>
          <w:b/>
          <w:color w:val="auto"/>
        </w:rPr>
        <w:t xml:space="preserve">Percentagem de partos institucionais. </w:t>
      </w:r>
      <w:r w:rsidRPr="00581281">
        <w:rPr>
          <w:rFonts w:ascii="Times New Roman" w:hAnsi="Times New Roman" w:cs="Times New Roman"/>
          <w:color w:val="auto"/>
        </w:rPr>
        <w:t>Este é um indicador de saúde sexual e reprodutiva muito importante para reduzir complicações durante o parto, salvando vidas maternas e infantis. O cenário base é de 87% e espera-se que até 2024 atinja 91%. Constatou-se que o indicador foi alcançado em 2022 e deste então os objectivos tendem a ser a sua manutenção. No entanto, a estagnação nas metas pode indicar a necessidade de um olhar mais atento para garantir que esse indicador não apenas seja mantido, mas também continue a evoluir, buscando constantemente melhorias na assistência à saúde materno-infantil.</w:t>
      </w:r>
    </w:p>
    <w:p w14:paraId="48973C47" w14:textId="77777777" w:rsidR="00070213" w:rsidRPr="00581281" w:rsidRDefault="00BA3D83" w:rsidP="00581281">
      <w:pPr>
        <w:numPr>
          <w:ilvl w:val="0"/>
          <w:numId w:val="8"/>
        </w:numPr>
        <w:pBdr>
          <w:top w:val="nil"/>
          <w:left w:val="nil"/>
          <w:bottom w:val="nil"/>
          <w:right w:val="nil"/>
          <w:between w:val="nil"/>
        </w:pBdr>
        <w:spacing w:after="0" w:line="360" w:lineRule="auto"/>
        <w:jc w:val="both"/>
        <w:rPr>
          <w:rFonts w:ascii="Times New Roman" w:hAnsi="Times New Roman" w:cs="Times New Roman"/>
          <w:b/>
          <w:color w:val="auto"/>
        </w:rPr>
      </w:pPr>
      <w:r w:rsidRPr="00581281">
        <w:rPr>
          <w:rFonts w:ascii="Times New Roman" w:hAnsi="Times New Roman" w:cs="Times New Roman"/>
          <w:b/>
          <w:color w:val="auto"/>
        </w:rPr>
        <w:t xml:space="preserve">Percentagem de crianças complemente vacinadas. </w:t>
      </w:r>
      <w:r w:rsidRPr="00581281">
        <w:rPr>
          <w:rFonts w:ascii="Times New Roman" w:hAnsi="Times New Roman" w:cs="Times New Roman"/>
          <w:color w:val="auto"/>
        </w:rPr>
        <w:t>Este indicador objectiva melhorar a qualidade de saúde e de vida de crianças menores de 5 anos, através da prevenção de doenças graves e consequente redução da morbidade e mortalidade infantil.</w:t>
      </w:r>
      <w:r w:rsidRPr="00581281">
        <w:rPr>
          <w:rFonts w:ascii="Times New Roman" w:hAnsi="Times New Roman" w:cs="Times New Roman"/>
          <w:b/>
          <w:color w:val="auto"/>
        </w:rPr>
        <w:t xml:space="preserve"> </w:t>
      </w:r>
      <w:r w:rsidRPr="00581281">
        <w:rPr>
          <w:rFonts w:ascii="Times New Roman" w:hAnsi="Times New Roman" w:cs="Times New Roman"/>
          <w:color w:val="auto"/>
        </w:rPr>
        <w:t>O cenário base em 2019 foi de 94% e a meta 96%. De resto, espera-se que depois de realizado a 84% em 2022, seja alcançado 96% nos dois últimos anos. No entanto, o desafio está em garantir que essa recuperação até o patamar desejado seja sustentável, exigindo estratégias contínuas de alcance e consciencialização para garantir altas taxas de vacinação.</w:t>
      </w:r>
    </w:p>
    <w:p w14:paraId="6CF04835" w14:textId="1D17706D" w:rsidR="00070213" w:rsidRPr="00581281" w:rsidRDefault="00BA3D83" w:rsidP="00581281">
      <w:pPr>
        <w:numPr>
          <w:ilvl w:val="0"/>
          <w:numId w:val="8"/>
        </w:numPr>
        <w:pBdr>
          <w:top w:val="nil"/>
          <w:left w:val="nil"/>
          <w:bottom w:val="nil"/>
          <w:right w:val="nil"/>
          <w:between w:val="nil"/>
        </w:pBdr>
        <w:spacing w:after="0" w:line="360" w:lineRule="auto"/>
        <w:jc w:val="both"/>
        <w:rPr>
          <w:rFonts w:ascii="Times New Roman" w:hAnsi="Times New Roman" w:cs="Times New Roman"/>
          <w:b/>
          <w:color w:val="auto"/>
        </w:rPr>
      </w:pPr>
      <w:r w:rsidRPr="00581281">
        <w:rPr>
          <w:rFonts w:ascii="Times New Roman" w:hAnsi="Times New Roman" w:cs="Times New Roman"/>
          <w:b/>
          <w:color w:val="auto"/>
        </w:rPr>
        <w:t xml:space="preserve">Reduzida a morbimortalidade por malária por métodos de preventivos PIDOM e REMILDS. </w:t>
      </w:r>
      <w:r w:rsidRPr="00581281">
        <w:rPr>
          <w:rFonts w:ascii="Times New Roman" w:hAnsi="Times New Roman" w:cs="Times New Roman"/>
          <w:color w:val="auto"/>
        </w:rPr>
        <w:t xml:space="preserve">A proposta do PESOE para 2024 estabelece alcançar a meta para o método de PIDOM e superar a meta para o método REMILDS. A redução da </w:t>
      </w:r>
      <w:r w:rsidR="005F1B36" w:rsidRPr="00581281">
        <w:rPr>
          <w:rFonts w:ascii="Times New Roman" w:hAnsi="Times New Roman" w:cs="Times New Roman"/>
          <w:color w:val="auto"/>
        </w:rPr>
        <w:t>morbimortalidade</w:t>
      </w:r>
      <w:r w:rsidRPr="00581281">
        <w:rPr>
          <w:rFonts w:ascii="Times New Roman" w:hAnsi="Times New Roman" w:cs="Times New Roman"/>
          <w:color w:val="auto"/>
        </w:rPr>
        <w:t xml:space="preserve"> por malária por meio desses métodos preventivos é crucial para mitigar o impacto </w:t>
      </w:r>
      <w:r w:rsidRPr="00581281">
        <w:rPr>
          <w:rFonts w:ascii="Times New Roman" w:hAnsi="Times New Roman" w:cs="Times New Roman"/>
          <w:color w:val="auto"/>
        </w:rPr>
        <w:lastRenderedPageBreak/>
        <w:t>devastador dessa doença. A ênfase na superação das metas estabelecidas indica um esforço contínuo para implementar e aprimorar estratégias preventivas. No entanto, é essencial acompanhar de perto a eficácia e a implementação desses métodos para garantir que as metas sejam não apenas atingidas, mas também sustentadas a longo prazo, visando uma redução significativa na incidência e impacto da malária na população.</w:t>
      </w:r>
    </w:p>
    <w:p w14:paraId="590EFFFB" w14:textId="77777777" w:rsidR="00070213" w:rsidRPr="00581281" w:rsidRDefault="00070213" w:rsidP="00581281">
      <w:pPr>
        <w:pBdr>
          <w:top w:val="nil"/>
          <w:left w:val="nil"/>
          <w:bottom w:val="nil"/>
          <w:right w:val="nil"/>
          <w:between w:val="nil"/>
        </w:pBdr>
        <w:spacing w:after="0" w:line="360" w:lineRule="auto"/>
        <w:ind w:left="720"/>
        <w:jc w:val="both"/>
        <w:rPr>
          <w:rFonts w:ascii="Times New Roman" w:hAnsi="Times New Roman" w:cs="Times New Roman"/>
          <w:b/>
          <w:color w:val="auto"/>
        </w:rPr>
      </w:pPr>
    </w:p>
    <w:p w14:paraId="2F7F1B39" w14:textId="77777777" w:rsidR="00070213" w:rsidRPr="00581281" w:rsidRDefault="00BA3D83" w:rsidP="00581281">
      <w:pPr>
        <w:numPr>
          <w:ilvl w:val="0"/>
          <w:numId w:val="2"/>
        </w:numPr>
        <w:pBdr>
          <w:top w:val="nil"/>
          <w:left w:val="nil"/>
          <w:bottom w:val="nil"/>
          <w:right w:val="nil"/>
          <w:between w:val="nil"/>
        </w:pBdr>
        <w:spacing w:after="160" w:line="360" w:lineRule="auto"/>
        <w:jc w:val="both"/>
        <w:rPr>
          <w:rFonts w:ascii="Times New Roman" w:hAnsi="Times New Roman" w:cs="Times New Roman"/>
          <w:b/>
          <w:color w:val="auto"/>
        </w:rPr>
      </w:pPr>
      <w:r w:rsidRPr="00581281">
        <w:rPr>
          <w:rFonts w:ascii="Times New Roman" w:hAnsi="Times New Roman" w:cs="Times New Roman"/>
          <w:b/>
          <w:color w:val="auto"/>
        </w:rPr>
        <w:t>Alcance dos indicadores de acção social relacionados com crianças</w:t>
      </w:r>
    </w:p>
    <w:p w14:paraId="3A4427C8" w14:textId="77777777" w:rsidR="00070213" w:rsidRPr="00581281" w:rsidRDefault="00BA3D83" w:rsidP="00581281">
      <w:pPr>
        <w:pBdr>
          <w:top w:val="nil"/>
          <w:left w:val="nil"/>
          <w:bottom w:val="nil"/>
          <w:right w:val="nil"/>
          <w:between w:val="nil"/>
        </w:pBdr>
        <w:spacing w:after="0" w:line="360" w:lineRule="auto"/>
        <w:jc w:val="both"/>
        <w:rPr>
          <w:rFonts w:ascii="Times New Roman" w:hAnsi="Times New Roman" w:cs="Times New Roman"/>
          <w:b/>
          <w:i/>
          <w:color w:val="auto"/>
        </w:rPr>
      </w:pPr>
      <w:bookmarkStart w:id="11" w:name="_35nkun2" w:colFirst="0" w:colLast="0"/>
      <w:bookmarkEnd w:id="11"/>
      <w:r w:rsidRPr="00581281">
        <w:rPr>
          <w:rFonts w:ascii="Times New Roman" w:hAnsi="Times New Roman" w:cs="Times New Roman"/>
          <w:b/>
          <w:color w:val="auto"/>
        </w:rPr>
        <w:t>Tabela 3: Alcance dos indicadores do PQG relacionados com a acção social das crianças</w:t>
      </w:r>
    </w:p>
    <w:tbl>
      <w:tblPr>
        <w:tblW w:w="9350" w:type="dxa"/>
        <w:tblCellMar>
          <w:left w:w="70" w:type="dxa"/>
          <w:right w:w="70" w:type="dxa"/>
        </w:tblCellMar>
        <w:tblLook w:val="04A0" w:firstRow="1" w:lastRow="0" w:firstColumn="1" w:lastColumn="0" w:noHBand="0" w:noVBand="1"/>
      </w:tblPr>
      <w:tblGrid>
        <w:gridCol w:w="3421"/>
        <w:gridCol w:w="843"/>
        <w:gridCol w:w="771"/>
        <w:gridCol w:w="810"/>
        <w:gridCol w:w="810"/>
        <w:gridCol w:w="720"/>
        <w:gridCol w:w="745"/>
        <w:gridCol w:w="1230"/>
      </w:tblGrid>
      <w:tr w:rsidR="00551413" w:rsidRPr="009279A9" w14:paraId="124C6638" w14:textId="77777777" w:rsidTr="00792845">
        <w:trPr>
          <w:trHeight w:val="696"/>
        </w:trPr>
        <w:tc>
          <w:tcPr>
            <w:tcW w:w="3421" w:type="dxa"/>
            <w:tcBorders>
              <w:top w:val="single" w:sz="4" w:space="0" w:color="auto"/>
              <w:left w:val="single" w:sz="4" w:space="0" w:color="auto"/>
              <w:bottom w:val="single" w:sz="4" w:space="0" w:color="auto"/>
              <w:right w:val="single" w:sz="4" w:space="0" w:color="auto"/>
            </w:tcBorders>
            <w:shd w:val="clear" w:color="000000" w:fill="DDEBF7"/>
            <w:noWrap/>
            <w:vAlign w:val="center"/>
            <w:hideMark/>
          </w:tcPr>
          <w:p w14:paraId="5CE598F2" w14:textId="77777777" w:rsidR="000278F3" w:rsidRPr="009279A9" w:rsidRDefault="000278F3" w:rsidP="009279A9">
            <w:pPr>
              <w:spacing w:after="0" w:line="240" w:lineRule="auto"/>
              <w:jc w:val="both"/>
              <w:rPr>
                <w:rFonts w:ascii="Times New Roman" w:eastAsia="Times New Roman" w:hAnsi="Times New Roman" w:cs="Times New Roman"/>
                <w:b/>
                <w:bCs/>
                <w:color w:val="auto"/>
                <w:sz w:val="20"/>
                <w:szCs w:val="20"/>
              </w:rPr>
            </w:pPr>
            <w:r w:rsidRPr="009279A9">
              <w:rPr>
                <w:rFonts w:ascii="Times New Roman" w:eastAsia="Times New Roman" w:hAnsi="Times New Roman" w:cs="Times New Roman"/>
                <w:b/>
                <w:bCs/>
                <w:color w:val="auto"/>
                <w:sz w:val="20"/>
                <w:szCs w:val="20"/>
              </w:rPr>
              <w:t>Indicadores Relacionados com a Criança</w:t>
            </w:r>
          </w:p>
        </w:tc>
        <w:tc>
          <w:tcPr>
            <w:tcW w:w="843" w:type="dxa"/>
            <w:tcBorders>
              <w:top w:val="single" w:sz="4" w:space="0" w:color="auto"/>
              <w:left w:val="nil"/>
              <w:bottom w:val="single" w:sz="4" w:space="0" w:color="auto"/>
              <w:right w:val="single" w:sz="4" w:space="0" w:color="auto"/>
            </w:tcBorders>
            <w:shd w:val="clear" w:color="000000" w:fill="DDEBF7"/>
            <w:noWrap/>
            <w:vAlign w:val="center"/>
            <w:hideMark/>
          </w:tcPr>
          <w:p w14:paraId="6F2975D2" w14:textId="77777777" w:rsidR="000278F3" w:rsidRPr="009279A9" w:rsidRDefault="000278F3" w:rsidP="009279A9">
            <w:pPr>
              <w:spacing w:after="0" w:line="240" w:lineRule="auto"/>
              <w:jc w:val="both"/>
              <w:rPr>
                <w:rFonts w:ascii="Times New Roman" w:eastAsia="Times New Roman" w:hAnsi="Times New Roman" w:cs="Times New Roman"/>
                <w:b/>
                <w:bCs/>
                <w:color w:val="auto"/>
                <w:sz w:val="20"/>
                <w:szCs w:val="20"/>
              </w:rPr>
            </w:pPr>
            <w:r w:rsidRPr="009279A9">
              <w:rPr>
                <w:rFonts w:ascii="Times New Roman" w:eastAsia="Times New Roman" w:hAnsi="Times New Roman" w:cs="Times New Roman"/>
                <w:b/>
                <w:bCs/>
                <w:color w:val="auto"/>
                <w:sz w:val="20"/>
                <w:szCs w:val="20"/>
              </w:rPr>
              <w:t>Base 2019</w:t>
            </w:r>
          </w:p>
        </w:tc>
        <w:tc>
          <w:tcPr>
            <w:tcW w:w="771" w:type="dxa"/>
            <w:tcBorders>
              <w:top w:val="single" w:sz="4" w:space="0" w:color="auto"/>
              <w:left w:val="nil"/>
              <w:bottom w:val="single" w:sz="4" w:space="0" w:color="auto"/>
              <w:right w:val="single" w:sz="4" w:space="0" w:color="auto"/>
            </w:tcBorders>
            <w:shd w:val="clear" w:color="000000" w:fill="DDEBF7"/>
            <w:noWrap/>
            <w:vAlign w:val="center"/>
            <w:hideMark/>
          </w:tcPr>
          <w:p w14:paraId="2499E770" w14:textId="77777777" w:rsidR="000278F3" w:rsidRPr="009279A9" w:rsidRDefault="000278F3" w:rsidP="009279A9">
            <w:pPr>
              <w:spacing w:after="0" w:line="240" w:lineRule="auto"/>
              <w:jc w:val="both"/>
              <w:rPr>
                <w:rFonts w:ascii="Times New Roman" w:eastAsia="Times New Roman" w:hAnsi="Times New Roman" w:cs="Times New Roman"/>
                <w:b/>
                <w:bCs/>
                <w:color w:val="auto"/>
                <w:sz w:val="20"/>
                <w:szCs w:val="20"/>
              </w:rPr>
            </w:pPr>
            <w:r w:rsidRPr="009279A9">
              <w:rPr>
                <w:rFonts w:ascii="Times New Roman" w:eastAsia="Times New Roman" w:hAnsi="Times New Roman" w:cs="Times New Roman"/>
                <w:b/>
                <w:bCs/>
                <w:color w:val="auto"/>
                <w:sz w:val="20"/>
                <w:szCs w:val="20"/>
              </w:rPr>
              <w:t>2020</w:t>
            </w:r>
          </w:p>
        </w:tc>
        <w:tc>
          <w:tcPr>
            <w:tcW w:w="810" w:type="dxa"/>
            <w:tcBorders>
              <w:top w:val="single" w:sz="4" w:space="0" w:color="auto"/>
              <w:left w:val="nil"/>
              <w:bottom w:val="single" w:sz="4" w:space="0" w:color="auto"/>
              <w:right w:val="single" w:sz="4" w:space="0" w:color="auto"/>
            </w:tcBorders>
            <w:shd w:val="clear" w:color="000000" w:fill="DDEBF7"/>
            <w:noWrap/>
            <w:vAlign w:val="center"/>
            <w:hideMark/>
          </w:tcPr>
          <w:p w14:paraId="3F5067C3" w14:textId="77777777" w:rsidR="000278F3" w:rsidRPr="009279A9" w:rsidRDefault="000278F3" w:rsidP="009279A9">
            <w:pPr>
              <w:spacing w:after="0" w:line="240" w:lineRule="auto"/>
              <w:jc w:val="both"/>
              <w:rPr>
                <w:rFonts w:ascii="Times New Roman" w:eastAsia="Times New Roman" w:hAnsi="Times New Roman" w:cs="Times New Roman"/>
                <w:b/>
                <w:bCs/>
                <w:color w:val="auto"/>
                <w:sz w:val="20"/>
                <w:szCs w:val="20"/>
              </w:rPr>
            </w:pPr>
            <w:r w:rsidRPr="009279A9">
              <w:rPr>
                <w:rFonts w:ascii="Times New Roman" w:eastAsia="Times New Roman" w:hAnsi="Times New Roman" w:cs="Times New Roman"/>
                <w:b/>
                <w:bCs/>
                <w:color w:val="auto"/>
                <w:sz w:val="20"/>
                <w:szCs w:val="20"/>
              </w:rPr>
              <w:t>2021</w:t>
            </w:r>
          </w:p>
        </w:tc>
        <w:tc>
          <w:tcPr>
            <w:tcW w:w="810" w:type="dxa"/>
            <w:tcBorders>
              <w:top w:val="single" w:sz="4" w:space="0" w:color="auto"/>
              <w:left w:val="nil"/>
              <w:bottom w:val="single" w:sz="4" w:space="0" w:color="auto"/>
              <w:right w:val="single" w:sz="4" w:space="0" w:color="auto"/>
            </w:tcBorders>
            <w:shd w:val="clear" w:color="000000" w:fill="DDEBF7"/>
            <w:noWrap/>
            <w:vAlign w:val="center"/>
            <w:hideMark/>
          </w:tcPr>
          <w:p w14:paraId="0AA986E6" w14:textId="77777777" w:rsidR="000278F3" w:rsidRPr="009279A9" w:rsidRDefault="000278F3" w:rsidP="009279A9">
            <w:pPr>
              <w:spacing w:after="0" w:line="240" w:lineRule="auto"/>
              <w:jc w:val="both"/>
              <w:rPr>
                <w:rFonts w:ascii="Times New Roman" w:eastAsia="Times New Roman" w:hAnsi="Times New Roman" w:cs="Times New Roman"/>
                <w:b/>
                <w:bCs/>
                <w:color w:val="auto"/>
                <w:sz w:val="20"/>
                <w:szCs w:val="20"/>
              </w:rPr>
            </w:pPr>
            <w:r w:rsidRPr="009279A9">
              <w:rPr>
                <w:rFonts w:ascii="Times New Roman" w:eastAsia="Times New Roman" w:hAnsi="Times New Roman" w:cs="Times New Roman"/>
                <w:b/>
                <w:bCs/>
                <w:color w:val="auto"/>
                <w:sz w:val="20"/>
                <w:szCs w:val="20"/>
              </w:rPr>
              <w:t>2022</w:t>
            </w:r>
          </w:p>
        </w:tc>
        <w:tc>
          <w:tcPr>
            <w:tcW w:w="720" w:type="dxa"/>
            <w:tcBorders>
              <w:top w:val="single" w:sz="4" w:space="0" w:color="auto"/>
              <w:left w:val="nil"/>
              <w:bottom w:val="single" w:sz="4" w:space="0" w:color="auto"/>
              <w:right w:val="single" w:sz="4" w:space="0" w:color="auto"/>
            </w:tcBorders>
            <w:shd w:val="clear" w:color="000000" w:fill="DDEBF7"/>
            <w:noWrap/>
            <w:vAlign w:val="center"/>
            <w:hideMark/>
          </w:tcPr>
          <w:p w14:paraId="24A8DDFA" w14:textId="77777777" w:rsidR="000278F3" w:rsidRPr="009279A9" w:rsidRDefault="000278F3" w:rsidP="009279A9">
            <w:pPr>
              <w:spacing w:after="0" w:line="240" w:lineRule="auto"/>
              <w:jc w:val="both"/>
              <w:rPr>
                <w:rFonts w:ascii="Times New Roman" w:eastAsia="Times New Roman" w:hAnsi="Times New Roman" w:cs="Times New Roman"/>
                <w:b/>
                <w:bCs/>
                <w:color w:val="auto"/>
                <w:sz w:val="20"/>
                <w:szCs w:val="20"/>
              </w:rPr>
            </w:pPr>
            <w:r w:rsidRPr="009279A9">
              <w:rPr>
                <w:rFonts w:ascii="Times New Roman" w:eastAsia="Times New Roman" w:hAnsi="Times New Roman" w:cs="Times New Roman"/>
                <w:b/>
                <w:bCs/>
                <w:color w:val="auto"/>
                <w:sz w:val="20"/>
                <w:szCs w:val="20"/>
              </w:rPr>
              <w:t>I Sem 2023</w:t>
            </w:r>
          </w:p>
        </w:tc>
        <w:tc>
          <w:tcPr>
            <w:tcW w:w="745" w:type="dxa"/>
            <w:tcBorders>
              <w:top w:val="single" w:sz="4" w:space="0" w:color="auto"/>
              <w:left w:val="nil"/>
              <w:bottom w:val="single" w:sz="4" w:space="0" w:color="auto"/>
              <w:right w:val="single" w:sz="4" w:space="0" w:color="auto"/>
            </w:tcBorders>
            <w:shd w:val="clear" w:color="000000" w:fill="DDEBF7"/>
            <w:noWrap/>
            <w:vAlign w:val="center"/>
            <w:hideMark/>
          </w:tcPr>
          <w:p w14:paraId="7D58910A" w14:textId="77777777" w:rsidR="000278F3" w:rsidRPr="009279A9" w:rsidRDefault="000278F3" w:rsidP="009279A9">
            <w:pPr>
              <w:spacing w:after="0" w:line="240" w:lineRule="auto"/>
              <w:jc w:val="both"/>
              <w:rPr>
                <w:rFonts w:ascii="Times New Roman" w:eastAsia="Times New Roman" w:hAnsi="Times New Roman" w:cs="Times New Roman"/>
                <w:b/>
                <w:bCs/>
                <w:color w:val="auto"/>
                <w:sz w:val="20"/>
                <w:szCs w:val="20"/>
              </w:rPr>
            </w:pPr>
            <w:r w:rsidRPr="009279A9">
              <w:rPr>
                <w:rFonts w:ascii="Times New Roman" w:eastAsia="Times New Roman" w:hAnsi="Times New Roman" w:cs="Times New Roman"/>
                <w:b/>
                <w:bCs/>
                <w:color w:val="auto"/>
                <w:sz w:val="20"/>
                <w:szCs w:val="20"/>
              </w:rPr>
              <w:t>Plano 2024</w:t>
            </w:r>
          </w:p>
        </w:tc>
        <w:tc>
          <w:tcPr>
            <w:tcW w:w="1230" w:type="dxa"/>
            <w:tcBorders>
              <w:top w:val="single" w:sz="4" w:space="0" w:color="auto"/>
              <w:left w:val="nil"/>
              <w:bottom w:val="single" w:sz="4" w:space="0" w:color="auto"/>
              <w:right w:val="single" w:sz="4" w:space="0" w:color="auto"/>
            </w:tcBorders>
            <w:shd w:val="clear" w:color="000000" w:fill="DDEBF7"/>
            <w:vAlign w:val="center"/>
            <w:hideMark/>
          </w:tcPr>
          <w:p w14:paraId="5A1C81B7" w14:textId="77777777" w:rsidR="00DB4403" w:rsidRPr="009279A9" w:rsidRDefault="000278F3" w:rsidP="009279A9">
            <w:pPr>
              <w:spacing w:after="0" w:line="240" w:lineRule="auto"/>
              <w:jc w:val="both"/>
              <w:rPr>
                <w:rFonts w:ascii="Times New Roman" w:eastAsia="Times New Roman" w:hAnsi="Times New Roman" w:cs="Times New Roman"/>
                <w:b/>
                <w:bCs/>
                <w:color w:val="auto"/>
                <w:sz w:val="20"/>
                <w:szCs w:val="20"/>
              </w:rPr>
            </w:pPr>
            <w:r w:rsidRPr="009279A9">
              <w:rPr>
                <w:rFonts w:ascii="Times New Roman" w:eastAsia="Times New Roman" w:hAnsi="Times New Roman" w:cs="Times New Roman"/>
                <w:b/>
                <w:bCs/>
                <w:color w:val="auto"/>
                <w:sz w:val="20"/>
                <w:szCs w:val="20"/>
              </w:rPr>
              <w:t>Meta PQG</w:t>
            </w:r>
          </w:p>
          <w:p w14:paraId="49C128F0" w14:textId="025D8DFB" w:rsidR="000278F3" w:rsidRPr="009279A9" w:rsidRDefault="000278F3" w:rsidP="009279A9">
            <w:pPr>
              <w:spacing w:after="0" w:line="240" w:lineRule="auto"/>
              <w:jc w:val="both"/>
              <w:rPr>
                <w:rFonts w:ascii="Times New Roman" w:eastAsia="Times New Roman" w:hAnsi="Times New Roman" w:cs="Times New Roman"/>
                <w:b/>
                <w:bCs/>
                <w:color w:val="auto"/>
                <w:sz w:val="20"/>
                <w:szCs w:val="20"/>
              </w:rPr>
            </w:pPr>
            <w:r w:rsidRPr="009279A9">
              <w:rPr>
                <w:rFonts w:ascii="Times New Roman" w:eastAsia="Times New Roman" w:hAnsi="Times New Roman" w:cs="Times New Roman"/>
                <w:b/>
                <w:bCs/>
                <w:color w:val="auto"/>
                <w:sz w:val="20"/>
                <w:szCs w:val="20"/>
              </w:rPr>
              <w:t>2019 - 2024</w:t>
            </w:r>
          </w:p>
        </w:tc>
      </w:tr>
      <w:tr w:rsidR="00551413" w:rsidRPr="009279A9" w14:paraId="2F34D287" w14:textId="77777777" w:rsidTr="00792845">
        <w:trPr>
          <w:trHeight w:val="696"/>
        </w:trPr>
        <w:tc>
          <w:tcPr>
            <w:tcW w:w="3421" w:type="dxa"/>
            <w:tcBorders>
              <w:top w:val="nil"/>
              <w:left w:val="single" w:sz="4" w:space="0" w:color="auto"/>
              <w:bottom w:val="single" w:sz="4" w:space="0" w:color="auto"/>
              <w:right w:val="single" w:sz="4" w:space="0" w:color="auto"/>
            </w:tcBorders>
            <w:shd w:val="clear" w:color="auto" w:fill="auto"/>
            <w:vAlign w:val="center"/>
            <w:hideMark/>
          </w:tcPr>
          <w:p w14:paraId="17FA1C75" w14:textId="77777777" w:rsidR="000278F3" w:rsidRPr="009279A9" w:rsidRDefault="000278F3" w:rsidP="009279A9">
            <w:pPr>
              <w:spacing w:after="0" w:line="240" w:lineRule="auto"/>
              <w:jc w:val="both"/>
              <w:rPr>
                <w:rFonts w:ascii="Times New Roman" w:eastAsia="Times New Roman" w:hAnsi="Times New Roman" w:cs="Times New Roman"/>
                <w:color w:val="auto"/>
                <w:sz w:val="20"/>
                <w:szCs w:val="20"/>
              </w:rPr>
            </w:pPr>
            <w:r w:rsidRPr="009279A9">
              <w:rPr>
                <w:rFonts w:ascii="Times New Roman" w:eastAsia="Times New Roman" w:hAnsi="Times New Roman" w:cs="Times New Roman"/>
                <w:color w:val="auto"/>
                <w:sz w:val="20"/>
                <w:szCs w:val="20"/>
              </w:rPr>
              <w:t>% de crianças em situação de pobreza recebendo pelo menos 3 serviços básicos</w:t>
            </w:r>
          </w:p>
        </w:tc>
        <w:tc>
          <w:tcPr>
            <w:tcW w:w="843" w:type="dxa"/>
            <w:tcBorders>
              <w:top w:val="nil"/>
              <w:left w:val="nil"/>
              <w:bottom w:val="single" w:sz="4" w:space="0" w:color="auto"/>
              <w:right w:val="single" w:sz="4" w:space="0" w:color="auto"/>
            </w:tcBorders>
            <w:shd w:val="clear" w:color="auto" w:fill="auto"/>
            <w:noWrap/>
            <w:vAlign w:val="center"/>
            <w:hideMark/>
          </w:tcPr>
          <w:p w14:paraId="71226B20" w14:textId="77777777" w:rsidR="000278F3" w:rsidRPr="009279A9" w:rsidRDefault="000278F3" w:rsidP="009279A9">
            <w:pPr>
              <w:spacing w:after="0" w:line="240" w:lineRule="auto"/>
              <w:jc w:val="both"/>
              <w:rPr>
                <w:rFonts w:ascii="Times New Roman" w:eastAsia="Times New Roman" w:hAnsi="Times New Roman" w:cs="Times New Roman"/>
                <w:color w:val="auto"/>
                <w:sz w:val="20"/>
                <w:szCs w:val="20"/>
              </w:rPr>
            </w:pPr>
            <w:r w:rsidRPr="009279A9">
              <w:rPr>
                <w:rFonts w:ascii="Times New Roman" w:eastAsia="Times New Roman" w:hAnsi="Times New Roman" w:cs="Times New Roman"/>
                <w:color w:val="auto"/>
                <w:sz w:val="20"/>
                <w:szCs w:val="20"/>
              </w:rPr>
              <w:t>5%</w:t>
            </w:r>
          </w:p>
        </w:tc>
        <w:tc>
          <w:tcPr>
            <w:tcW w:w="771" w:type="dxa"/>
            <w:tcBorders>
              <w:top w:val="nil"/>
              <w:left w:val="nil"/>
              <w:bottom w:val="single" w:sz="4" w:space="0" w:color="auto"/>
              <w:right w:val="single" w:sz="4" w:space="0" w:color="auto"/>
            </w:tcBorders>
            <w:shd w:val="clear" w:color="auto" w:fill="auto"/>
            <w:noWrap/>
            <w:vAlign w:val="center"/>
            <w:hideMark/>
          </w:tcPr>
          <w:p w14:paraId="5074946C" w14:textId="77777777" w:rsidR="000278F3" w:rsidRPr="009279A9" w:rsidRDefault="000278F3" w:rsidP="009279A9">
            <w:pPr>
              <w:spacing w:after="0" w:line="240" w:lineRule="auto"/>
              <w:jc w:val="both"/>
              <w:rPr>
                <w:rFonts w:ascii="Times New Roman" w:eastAsia="Times New Roman" w:hAnsi="Times New Roman" w:cs="Times New Roman"/>
                <w:color w:val="auto"/>
                <w:sz w:val="20"/>
                <w:szCs w:val="20"/>
              </w:rPr>
            </w:pPr>
            <w:r w:rsidRPr="009279A9">
              <w:rPr>
                <w:rFonts w:ascii="Times New Roman" w:eastAsia="Times New Roman" w:hAnsi="Times New Roman" w:cs="Times New Roman"/>
                <w:color w:val="auto"/>
                <w:sz w:val="20"/>
                <w:szCs w:val="20"/>
              </w:rPr>
              <w:t>5%</w:t>
            </w:r>
          </w:p>
        </w:tc>
        <w:tc>
          <w:tcPr>
            <w:tcW w:w="810" w:type="dxa"/>
            <w:tcBorders>
              <w:top w:val="nil"/>
              <w:left w:val="nil"/>
              <w:bottom w:val="single" w:sz="4" w:space="0" w:color="auto"/>
              <w:right w:val="single" w:sz="4" w:space="0" w:color="auto"/>
            </w:tcBorders>
            <w:shd w:val="clear" w:color="auto" w:fill="auto"/>
            <w:noWrap/>
            <w:vAlign w:val="center"/>
            <w:hideMark/>
          </w:tcPr>
          <w:p w14:paraId="236EDF5C" w14:textId="77777777" w:rsidR="000278F3" w:rsidRPr="009279A9" w:rsidRDefault="000278F3" w:rsidP="009279A9">
            <w:pPr>
              <w:spacing w:after="0" w:line="240" w:lineRule="auto"/>
              <w:jc w:val="both"/>
              <w:rPr>
                <w:rFonts w:ascii="Times New Roman" w:eastAsia="Times New Roman" w:hAnsi="Times New Roman" w:cs="Times New Roman"/>
                <w:color w:val="auto"/>
                <w:sz w:val="20"/>
                <w:szCs w:val="20"/>
              </w:rPr>
            </w:pPr>
            <w:r w:rsidRPr="009279A9">
              <w:rPr>
                <w:rFonts w:ascii="Times New Roman" w:eastAsia="Times New Roman" w:hAnsi="Times New Roman" w:cs="Times New Roman"/>
                <w:color w:val="auto"/>
                <w:sz w:val="20"/>
                <w:szCs w:val="20"/>
              </w:rPr>
              <w:t>8,0%</w:t>
            </w:r>
          </w:p>
        </w:tc>
        <w:tc>
          <w:tcPr>
            <w:tcW w:w="810" w:type="dxa"/>
            <w:tcBorders>
              <w:top w:val="nil"/>
              <w:left w:val="nil"/>
              <w:bottom w:val="single" w:sz="4" w:space="0" w:color="auto"/>
              <w:right w:val="single" w:sz="4" w:space="0" w:color="auto"/>
            </w:tcBorders>
            <w:shd w:val="clear" w:color="auto" w:fill="auto"/>
            <w:noWrap/>
            <w:vAlign w:val="center"/>
            <w:hideMark/>
          </w:tcPr>
          <w:p w14:paraId="6F7B8404" w14:textId="77777777" w:rsidR="000278F3" w:rsidRPr="009279A9" w:rsidRDefault="000278F3" w:rsidP="009279A9">
            <w:pPr>
              <w:spacing w:after="0" w:line="240" w:lineRule="auto"/>
              <w:jc w:val="both"/>
              <w:rPr>
                <w:rFonts w:ascii="Times New Roman" w:eastAsia="Times New Roman" w:hAnsi="Times New Roman" w:cs="Times New Roman"/>
                <w:color w:val="auto"/>
                <w:sz w:val="20"/>
                <w:szCs w:val="20"/>
              </w:rPr>
            </w:pPr>
            <w:r w:rsidRPr="009279A9">
              <w:rPr>
                <w:rFonts w:ascii="Times New Roman" w:eastAsia="Times New Roman" w:hAnsi="Times New Roman" w:cs="Times New Roman"/>
                <w:color w:val="auto"/>
                <w:sz w:val="20"/>
                <w:szCs w:val="20"/>
              </w:rPr>
              <w:t>8%</w:t>
            </w:r>
          </w:p>
        </w:tc>
        <w:tc>
          <w:tcPr>
            <w:tcW w:w="720" w:type="dxa"/>
            <w:tcBorders>
              <w:top w:val="nil"/>
              <w:left w:val="nil"/>
              <w:bottom w:val="single" w:sz="4" w:space="0" w:color="auto"/>
              <w:right w:val="single" w:sz="4" w:space="0" w:color="auto"/>
            </w:tcBorders>
            <w:shd w:val="clear" w:color="auto" w:fill="auto"/>
            <w:noWrap/>
            <w:vAlign w:val="center"/>
            <w:hideMark/>
          </w:tcPr>
          <w:p w14:paraId="7084851C" w14:textId="77777777" w:rsidR="000278F3" w:rsidRPr="009279A9" w:rsidRDefault="000278F3" w:rsidP="009279A9">
            <w:pPr>
              <w:spacing w:after="0" w:line="240" w:lineRule="auto"/>
              <w:jc w:val="both"/>
              <w:rPr>
                <w:rFonts w:ascii="Times New Roman" w:eastAsia="Times New Roman" w:hAnsi="Times New Roman" w:cs="Times New Roman"/>
                <w:color w:val="auto"/>
                <w:sz w:val="20"/>
                <w:szCs w:val="20"/>
              </w:rPr>
            </w:pPr>
            <w:r w:rsidRPr="009279A9">
              <w:rPr>
                <w:rFonts w:ascii="Times New Roman" w:eastAsia="Times New Roman" w:hAnsi="Times New Roman" w:cs="Times New Roman"/>
                <w:color w:val="auto"/>
                <w:sz w:val="20"/>
                <w:szCs w:val="20"/>
              </w:rPr>
              <w:t>5,9%</w:t>
            </w:r>
          </w:p>
        </w:tc>
        <w:tc>
          <w:tcPr>
            <w:tcW w:w="745" w:type="dxa"/>
            <w:tcBorders>
              <w:top w:val="nil"/>
              <w:left w:val="nil"/>
              <w:bottom w:val="single" w:sz="4" w:space="0" w:color="auto"/>
              <w:right w:val="single" w:sz="4" w:space="0" w:color="auto"/>
            </w:tcBorders>
            <w:shd w:val="clear" w:color="auto" w:fill="auto"/>
            <w:noWrap/>
            <w:vAlign w:val="center"/>
            <w:hideMark/>
          </w:tcPr>
          <w:p w14:paraId="26F38686" w14:textId="77777777" w:rsidR="000278F3" w:rsidRPr="009279A9" w:rsidRDefault="000278F3" w:rsidP="009279A9">
            <w:pPr>
              <w:spacing w:after="0" w:line="240" w:lineRule="auto"/>
              <w:jc w:val="both"/>
              <w:rPr>
                <w:rFonts w:ascii="Times New Roman" w:eastAsia="Times New Roman" w:hAnsi="Times New Roman" w:cs="Times New Roman"/>
                <w:color w:val="auto"/>
                <w:sz w:val="20"/>
                <w:szCs w:val="20"/>
              </w:rPr>
            </w:pPr>
            <w:r w:rsidRPr="009279A9">
              <w:rPr>
                <w:rFonts w:ascii="Times New Roman" w:eastAsia="Times New Roman" w:hAnsi="Times New Roman" w:cs="Times New Roman"/>
                <w:color w:val="auto"/>
                <w:sz w:val="20"/>
                <w:szCs w:val="20"/>
              </w:rPr>
              <w:t>8%</w:t>
            </w:r>
          </w:p>
        </w:tc>
        <w:tc>
          <w:tcPr>
            <w:tcW w:w="1230" w:type="dxa"/>
            <w:tcBorders>
              <w:top w:val="nil"/>
              <w:left w:val="nil"/>
              <w:bottom w:val="single" w:sz="4" w:space="0" w:color="auto"/>
              <w:right w:val="single" w:sz="4" w:space="0" w:color="auto"/>
            </w:tcBorders>
            <w:shd w:val="clear" w:color="auto" w:fill="auto"/>
            <w:noWrap/>
            <w:vAlign w:val="center"/>
            <w:hideMark/>
          </w:tcPr>
          <w:p w14:paraId="677C8630" w14:textId="77777777" w:rsidR="000278F3" w:rsidRPr="009279A9" w:rsidRDefault="000278F3" w:rsidP="009279A9">
            <w:pPr>
              <w:spacing w:after="0" w:line="240" w:lineRule="auto"/>
              <w:jc w:val="both"/>
              <w:rPr>
                <w:rFonts w:ascii="Times New Roman" w:eastAsia="Times New Roman" w:hAnsi="Times New Roman" w:cs="Times New Roman"/>
                <w:color w:val="auto"/>
                <w:sz w:val="20"/>
                <w:szCs w:val="20"/>
              </w:rPr>
            </w:pPr>
            <w:r w:rsidRPr="009279A9">
              <w:rPr>
                <w:rFonts w:ascii="Times New Roman" w:eastAsia="Times New Roman" w:hAnsi="Times New Roman" w:cs="Times New Roman"/>
                <w:color w:val="auto"/>
                <w:sz w:val="20"/>
                <w:szCs w:val="20"/>
              </w:rPr>
              <w:t>10%</w:t>
            </w:r>
          </w:p>
        </w:tc>
      </w:tr>
      <w:tr w:rsidR="00551413" w:rsidRPr="009279A9" w14:paraId="7787006D" w14:textId="77777777" w:rsidTr="00792845">
        <w:trPr>
          <w:trHeight w:val="696"/>
        </w:trPr>
        <w:tc>
          <w:tcPr>
            <w:tcW w:w="3421" w:type="dxa"/>
            <w:tcBorders>
              <w:top w:val="nil"/>
              <w:left w:val="single" w:sz="4" w:space="0" w:color="auto"/>
              <w:bottom w:val="single" w:sz="4" w:space="0" w:color="auto"/>
              <w:right w:val="single" w:sz="4" w:space="0" w:color="auto"/>
            </w:tcBorders>
            <w:shd w:val="clear" w:color="auto" w:fill="auto"/>
            <w:vAlign w:val="center"/>
            <w:hideMark/>
          </w:tcPr>
          <w:p w14:paraId="187D5EE2" w14:textId="77777777" w:rsidR="000278F3" w:rsidRPr="009279A9" w:rsidRDefault="000278F3" w:rsidP="009279A9">
            <w:pPr>
              <w:spacing w:after="0" w:line="240" w:lineRule="auto"/>
              <w:jc w:val="both"/>
              <w:rPr>
                <w:rFonts w:ascii="Times New Roman" w:eastAsia="Times New Roman" w:hAnsi="Times New Roman" w:cs="Times New Roman"/>
                <w:color w:val="auto"/>
                <w:sz w:val="20"/>
                <w:szCs w:val="20"/>
              </w:rPr>
            </w:pPr>
            <w:r w:rsidRPr="009279A9">
              <w:rPr>
                <w:rFonts w:ascii="Times New Roman" w:eastAsia="Times New Roman" w:hAnsi="Times New Roman" w:cs="Times New Roman"/>
                <w:color w:val="auto"/>
                <w:sz w:val="20"/>
                <w:szCs w:val="20"/>
              </w:rPr>
              <w:t>Reduzida a % de crianças vítimas de uniões prematuras</w:t>
            </w:r>
          </w:p>
        </w:tc>
        <w:tc>
          <w:tcPr>
            <w:tcW w:w="843" w:type="dxa"/>
            <w:tcBorders>
              <w:top w:val="nil"/>
              <w:left w:val="nil"/>
              <w:bottom w:val="single" w:sz="4" w:space="0" w:color="auto"/>
              <w:right w:val="single" w:sz="4" w:space="0" w:color="auto"/>
            </w:tcBorders>
            <w:shd w:val="clear" w:color="auto" w:fill="auto"/>
            <w:noWrap/>
            <w:vAlign w:val="center"/>
            <w:hideMark/>
          </w:tcPr>
          <w:p w14:paraId="1CADD5C7" w14:textId="77777777" w:rsidR="000278F3" w:rsidRPr="009279A9" w:rsidRDefault="000278F3" w:rsidP="009279A9">
            <w:pPr>
              <w:spacing w:after="0" w:line="240" w:lineRule="auto"/>
              <w:jc w:val="both"/>
              <w:rPr>
                <w:rFonts w:ascii="Times New Roman" w:eastAsia="Times New Roman" w:hAnsi="Times New Roman" w:cs="Times New Roman"/>
                <w:color w:val="auto"/>
                <w:sz w:val="20"/>
                <w:szCs w:val="20"/>
              </w:rPr>
            </w:pPr>
            <w:r w:rsidRPr="009279A9">
              <w:rPr>
                <w:rFonts w:ascii="Times New Roman" w:eastAsia="Times New Roman" w:hAnsi="Times New Roman" w:cs="Times New Roman"/>
                <w:color w:val="auto"/>
                <w:sz w:val="20"/>
                <w:szCs w:val="20"/>
              </w:rPr>
              <w:t>48%</w:t>
            </w:r>
          </w:p>
        </w:tc>
        <w:tc>
          <w:tcPr>
            <w:tcW w:w="771" w:type="dxa"/>
            <w:tcBorders>
              <w:top w:val="nil"/>
              <w:left w:val="nil"/>
              <w:bottom w:val="single" w:sz="4" w:space="0" w:color="auto"/>
              <w:right w:val="single" w:sz="4" w:space="0" w:color="auto"/>
            </w:tcBorders>
            <w:shd w:val="clear" w:color="auto" w:fill="auto"/>
            <w:noWrap/>
            <w:vAlign w:val="center"/>
            <w:hideMark/>
          </w:tcPr>
          <w:p w14:paraId="53EEE651" w14:textId="77777777" w:rsidR="000278F3" w:rsidRPr="009279A9" w:rsidRDefault="000278F3" w:rsidP="009279A9">
            <w:pPr>
              <w:spacing w:after="0" w:line="240" w:lineRule="auto"/>
              <w:jc w:val="both"/>
              <w:rPr>
                <w:rFonts w:ascii="Times New Roman" w:eastAsia="Times New Roman" w:hAnsi="Times New Roman" w:cs="Times New Roman"/>
                <w:color w:val="auto"/>
                <w:sz w:val="20"/>
                <w:szCs w:val="20"/>
              </w:rPr>
            </w:pPr>
            <w:r w:rsidRPr="009279A9">
              <w:rPr>
                <w:rFonts w:ascii="Times New Roman" w:eastAsia="Times New Roman" w:hAnsi="Times New Roman" w:cs="Times New Roman"/>
                <w:color w:val="auto"/>
                <w:sz w:val="20"/>
                <w:szCs w:val="20"/>
              </w:rPr>
              <w:t>41%</w:t>
            </w:r>
          </w:p>
        </w:tc>
        <w:tc>
          <w:tcPr>
            <w:tcW w:w="810" w:type="dxa"/>
            <w:tcBorders>
              <w:top w:val="nil"/>
              <w:left w:val="nil"/>
              <w:bottom w:val="single" w:sz="4" w:space="0" w:color="auto"/>
              <w:right w:val="single" w:sz="4" w:space="0" w:color="auto"/>
            </w:tcBorders>
            <w:shd w:val="clear" w:color="auto" w:fill="auto"/>
            <w:noWrap/>
            <w:vAlign w:val="center"/>
            <w:hideMark/>
          </w:tcPr>
          <w:p w14:paraId="0F06A604" w14:textId="77777777" w:rsidR="000278F3" w:rsidRPr="009279A9" w:rsidRDefault="000278F3" w:rsidP="009279A9">
            <w:pPr>
              <w:spacing w:after="0" w:line="240" w:lineRule="auto"/>
              <w:jc w:val="both"/>
              <w:rPr>
                <w:rFonts w:ascii="Times New Roman" w:eastAsia="Times New Roman" w:hAnsi="Times New Roman" w:cs="Times New Roman"/>
                <w:color w:val="auto"/>
                <w:sz w:val="20"/>
                <w:szCs w:val="20"/>
              </w:rPr>
            </w:pPr>
            <w:r w:rsidRPr="009279A9">
              <w:rPr>
                <w:rFonts w:ascii="Times New Roman" w:eastAsia="Times New Roman" w:hAnsi="Times New Roman" w:cs="Times New Roman"/>
                <w:color w:val="auto"/>
                <w:sz w:val="20"/>
                <w:szCs w:val="20"/>
              </w:rPr>
              <w:t>41%</w:t>
            </w:r>
          </w:p>
        </w:tc>
        <w:tc>
          <w:tcPr>
            <w:tcW w:w="810" w:type="dxa"/>
            <w:tcBorders>
              <w:top w:val="nil"/>
              <w:left w:val="nil"/>
              <w:bottom w:val="single" w:sz="4" w:space="0" w:color="auto"/>
              <w:right w:val="single" w:sz="4" w:space="0" w:color="auto"/>
            </w:tcBorders>
            <w:shd w:val="clear" w:color="auto" w:fill="auto"/>
            <w:noWrap/>
            <w:vAlign w:val="center"/>
            <w:hideMark/>
          </w:tcPr>
          <w:p w14:paraId="0D1BB336" w14:textId="77777777" w:rsidR="000278F3" w:rsidRPr="009279A9" w:rsidRDefault="000278F3" w:rsidP="009279A9">
            <w:pPr>
              <w:spacing w:after="0" w:line="240" w:lineRule="auto"/>
              <w:jc w:val="both"/>
              <w:rPr>
                <w:rFonts w:ascii="Times New Roman" w:eastAsia="Times New Roman" w:hAnsi="Times New Roman" w:cs="Times New Roman"/>
                <w:color w:val="auto"/>
                <w:sz w:val="20"/>
                <w:szCs w:val="20"/>
              </w:rPr>
            </w:pPr>
            <w:r w:rsidRPr="009279A9">
              <w:rPr>
                <w:rFonts w:ascii="Times New Roman" w:eastAsia="Times New Roman" w:hAnsi="Times New Roman" w:cs="Times New Roman"/>
                <w:color w:val="auto"/>
                <w:sz w:val="20"/>
                <w:szCs w:val="20"/>
              </w:rPr>
              <w:t>41%</w:t>
            </w:r>
          </w:p>
        </w:tc>
        <w:tc>
          <w:tcPr>
            <w:tcW w:w="720" w:type="dxa"/>
            <w:tcBorders>
              <w:top w:val="nil"/>
              <w:left w:val="nil"/>
              <w:bottom w:val="single" w:sz="4" w:space="0" w:color="auto"/>
              <w:right w:val="single" w:sz="4" w:space="0" w:color="auto"/>
            </w:tcBorders>
            <w:shd w:val="clear" w:color="auto" w:fill="auto"/>
            <w:noWrap/>
            <w:vAlign w:val="center"/>
            <w:hideMark/>
          </w:tcPr>
          <w:p w14:paraId="7AB6C43A" w14:textId="77777777" w:rsidR="000278F3" w:rsidRPr="009279A9" w:rsidRDefault="000278F3" w:rsidP="009279A9">
            <w:pPr>
              <w:spacing w:after="0" w:line="240" w:lineRule="auto"/>
              <w:jc w:val="both"/>
              <w:rPr>
                <w:rFonts w:ascii="Times New Roman" w:eastAsia="Times New Roman" w:hAnsi="Times New Roman" w:cs="Times New Roman"/>
                <w:color w:val="auto"/>
                <w:sz w:val="20"/>
                <w:szCs w:val="20"/>
              </w:rPr>
            </w:pPr>
            <w:r w:rsidRPr="009279A9">
              <w:rPr>
                <w:rFonts w:ascii="Times New Roman" w:eastAsia="Times New Roman" w:hAnsi="Times New Roman" w:cs="Times New Roman"/>
                <w:color w:val="auto"/>
                <w:sz w:val="20"/>
                <w:szCs w:val="20"/>
              </w:rPr>
              <w:t>41%</w:t>
            </w:r>
          </w:p>
        </w:tc>
        <w:tc>
          <w:tcPr>
            <w:tcW w:w="745" w:type="dxa"/>
            <w:tcBorders>
              <w:top w:val="nil"/>
              <w:left w:val="nil"/>
              <w:bottom w:val="single" w:sz="4" w:space="0" w:color="auto"/>
              <w:right w:val="single" w:sz="4" w:space="0" w:color="auto"/>
            </w:tcBorders>
            <w:shd w:val="clear" w:color="auto" w:fill="auto"/>
            <w:noWrap/>
            <w:vAlign w:val="center"/>
            <w:hideMark/>
          </w:tcPr>
          <w:p w14:paraId="5092EC51" w14:textId="77777777" w:rsidR="000278F3" w:rsidRPr="009279A9" w:rsidRDefault="000278F3" w:rsidP="009279A9">
            <w:pPr>
              <w:spacing w:after="0" w:line="240" w:lineRule="auto"/>
              <w:jc w:val="both"/>
              <w:rPr>
                <w:rFonts w:ascii="Times New Roman" w:eastAsia="Times New Roman" w:hAnsi="Times New Roman" w:cs="Times New Roman"/>
                <w:color w:val="auto"/>
                <w:sz w:val="20"/>
                <w:szCs w:val="20"/>
              </w:rPr>
            </w:pPr>
            <w:r w:rsidRPr="009279A9">
              <w:rPr>
                <w:rFonts w:ascii="Times New Roman" w:eastAsia="Times New Roman" w:hAnsi="Times New Roman" w:cs="Times New Roman"/>
                <w:color w:val="auto"/>
                <w:sz w:val="20"/>
                <w:szCs w:val="20"/>
              </w:rPr>
              <w:t>38%</w:t>
            </w:r>
          </w:p>
        </w:tc>
        <w:tc>
          <w:tcPr>
            <w:tcW w:w="1230" w:type="dxa"/>
            <w:tcBorders>
              <w:top w:val="nil"/>
              <w:left w:val="nil"/>
              <w:bottom w:val="single" w:sz="4" w:space="0" w:color="auto"/>
              <w:right w:val="single" w:sz="4" w:space="0" w:color="auto"/>
            </w:tcBorders>
            <w:shd w:val="clear" w:color="auto" w:fill="auto"/>
            <w:noWrap/>
            <w:vAlign w:val="center"/>
            <w:hideMark/>
          </w:tcPr>
          <w:p w14:paraId="2F80B405" w14:textId="77777777" w:rsidR="000278F3" w:rsidRPr="009279A9" w:rsidRDefault="000278F3" w:rsidP="009279A9">
            <w:pPr>
              <w:spacing w:after="0" w:line="240" w:lineRule="auto"/>
              <w:jc w:val="both"/>
              <w:rPr>
                <w:rFonts w:ascii="Times New Roman" w:eastAsia="Times New Roman" w:hAnsi="Times New Roman" w:cs="Times New Roman"/>
                <w:color w:val="auto"/>
                <w:sz w:val="20"/>
                <w:szCs w:val="20"/>
              </w:rPr>
            </w:pPr>
            <w:r w:rsidRPr="009279A9">
              <w:rPr>
                <w:rFonts w:ascii="Times New Roman" w:eastAsia="Times New Roman" w:hAnsi="Times New Roman" w:cs="Times New Roman"/>
                <w:color w:val="auto"/>
                <w:sz w:val="20"/>
                <w:szCs w:val="20"/>
              </w:rPr>
              <w:t>38%</w:t>
            </w:r>
          </w:p>
        </w:tc>
      </w:tr>
      <w:tr w:rsidR="00551413" w:rsidRPr="009279A9" w14:paraId="37B5E9F6" w14:textId="77777777" w:rsidTr="00792845">
        <w:trPr>
          <w:trHeight w:val="696"/>
        </w:trPr>
        <w:tc>
          <w:tcPr>
            <w:tcW w:w="3421" w:type="dxa"/>
            <w:tcBorders>
              <w:top w:val="nil"/>
              <w:left w:val="single" w:sz="4" w:space="0" w:color="auto"/>
              <w:bottom w:val="single" w:sz="4" w:space="0" w:color="auto"/>
              <w:right w:val="single" w:sz="4" w:space="0" w:color="auto"/>
            </w:tcBorders>
            <w:shd w:val="clear" w:color="auto" w:fill="auto"/>
            <w:vAlign w:val="center"/>
            <w:hideMark/>
          </w:tcPr>
          <w:p w14:paraId="2FD04B48" w14:textId="77777777" w:rsidR="000278F3" w:rsidRPr="009279A9" w:rsidRDefault="000278F3" w:rsidP="009279A9">
            <w:pPr>
              <w:spacing w:after="0" w:line="240" w:lineRule="auto"/>
              <w:jc w:val="both"/>
              <w:rPr>
                <w:rFonts w:ascii="Times New Roman" w:eastAsia="Times New Roman" w:hAnsi="Times New Roman" w:cs="Times New Roman"/>
                <w:color w:val="auto"/>
                <w:sz w:val="20"/>
                <w:szCs w:val="20"/>
              </w:rPr>
            </w:pPr>
            <w:r w:rsidRPr="009279A9">
              <w:rPr>
                <w:rFonts w:ascii="Times New Roman" w:eastAsia="Times New Roman" w:hAnsi="Times New Roman" w:cs="Times New Roman"/>
                <w:color w:val="auto"/>
                <w:sz w:val="20"/>
                <w:szCs w:val="20"/>
              </w:rPr>
              <w:t>% de crianças de 0 a 5 anos cobertas pela rede de educação pré-escolar</w:t>
            </w:r>
          </w:p>
          <w:p w14:paraId="112842EC" w14:textId="77777777" w:rsidR="003140BE" w:rsidRPr="009279A9" w:rsidRDefault="003140BE" w:rsidP="009279A9">
            <w:pPr>
              <w:spacing w:after="0" w:line="240" w:lineRule="auto"/>
              <w:jc w:val="both"/>
              <w:rPr>
                <w:rFonts w:ascii="Times New Roman" w:eastAsia="Times New Roman" w:hAnsi="Times New Roman" w:cs="Times New Roman"/>
                <w:color w:val="auto"/>
                <w:sz w:val="20"/>
                <w:szCs w:val="20"/>
              </w:rPr>
            </w:pPr>
          </w:p>
        </w:tc>
        <w:tc>
          <w:tcPr>
            <w:tcW w:w="843" w:type="dxa"/>
            <w:tcBorders>
              <w:top w:val="nil"/>
              <w:left w:val="nil"/>
              <w:bottom w:val="single" w:sz="4" w:space="0" w:color="auto"/>
              <w:right w:val="single" w:sz="4" w:space="0" w:color="auto"/>
            </w:tcBorders>
            <w:shd w:val="clear" w:color="auto" w:fill="auto"/>
            <w:noWrap/>
            <w:vAlign w:val="center"/>
            <w:hideMark/>
          </w:tcPr>
          <w:p w14:paraId="509C0BCF" w14:textId="77777777" w:rsidR="000278F3" w:rsidRPr="009279A9" w:rsidRDefault="000278F3" w:rsidP="009279A9">
            <w:pPr>
              <w:spacing w:after="0" w:line="240" w:lineRule="auto"/>
              <w:jc w:val="both"/>
              <w:rPr>
                <w:rFonts w:ascii="Times New Roman" w:eastAsia="Times New Roman" w:hAnsi="Times New Roman" w:cs="Times New Roman"/>
                <w:color w:val="auto"/>
                <w:sz w:val="20"/>
                <w:szCs w:val="20"/>
              </w:rPr>
            </w:pPr>
            <w:r w:rsidRPr="009279A9">
              <w:rPr>
                <w:rFonts w:ascii="Times New Roman" w:eastAsia="Times New Roman" w:hAnsi="Times New Roman" w:cs="Times New Roman"/>
                <w:color w:val="auto"/>
                <w:sz w:val="20"/>
                <w:szCs w:val="20"/>
              </w:rPr>
              <w:t>2%</w:t>
            </w:r>
          </w:p>
        </w:tc>
        <w:tc>
          <w:tcPr>
            <w:tcW w:w="771" w:type="dxa"/>
            <w:tcBorders>
              <w:top w:val="nil"/>
              <w:left w:val="nil"/>
              <w:bottom w:val="single" w:sz="4" w:space="0" w:color="auto"/>
              <w:right w:val="single" w:sz="4" w:space="0" w:color="auto"/>
            </w:tcBorders>
            <w:shd w:val="clear" w:color="auto" w:fill="auto"/>
            <w:noWrap/>
            <w:vAlign w:val="center"/>
            <w:hideMark/>
          </w:tcPr>
          <w:p w14:paraId="0D7DE742" w14:textId="77777777" w:rsidR="000278F3" w:rsidRPr="009279A9" w:rsidRDefault="000278F3" w:rsidP="009279A9">
            <w:pPr>
              <w:spacing w:after="0" w:line="240" w:lineRule="auto"/>
              <w:jc w:val="both"/>
              <w:rPr>
                <w:rFonts w:ascii="Times New Roman" w:eastAsia="Times New Roman" w:hAnsi="Times New Roman" w:cs="Times New Roman"/>
                <w:color w:val="auto"/>
                <w:sz w:val="20"/>
                <w:szCs w:val="20"/>
              </w:rPr>
            </w:pPr>
            <w:r w:rsidRPr="009279A9">
              <w:rPr>
                <w:rFonts w:ascii="Times New Roman" w:eastAsia="Times New Roman" w:hAnsi="Times New Roman" w:cs="Times New Roman"/>
                <w:color w:val="auto"/>
                <w:sz w:val="20"/>
                <w:szCs w:val="20"/>
              </w:rPr>
              <w:t>1,7%</w:t>
            </w:r>
          </w:p>
        </w:tc>
        <w:tc>
          <w:tcPr>
            <w:tcW w:w="810" w:type="dxa"/>
            <w:tcBorders>
              <w:top w:val="nil"/>
              <w:left w:val="nil"/>
              <w:bottom w:val="single" w:sz="4" w:space="0" w:color="auto"/>
              <w:right w:val="single" w:sz="4" w:space="0" w:color="auto"/>
            </w:tcBorders>
            <w:shd w:val="clear" w:color="auto" w:fill="auto"/>
            <w:noWrap/>
            <w:vAlign w:val="center"/>
            <w:hideMark/>
          </w:tcPr>
          <w:p w14:paraId="321D8766" w14:textId="77777777" w:rsidR="000278F3" w:rsidRPr="009279A9" w:rsidRDefault="000278F3" w:rsidP="009279A9">
            <w:pPr>
              <w:spacing w:after="0" w:line="240" w:lineRule="auto"/>
              <w:jc w:val="both"/>
              <w:rPr>
                <w:rFonts w:ascii="Times New Roman" w:eastAsia="Times New Roman" w:hAnsi="Times New Roman" w:cs="Times New Roman"/>
                <w:color w:val="auto"/>
                <w:sz w:val="20"/>
                <w:szCs w:val="20"/>
              </w:rPr>
            </w:pPr>
            <w:r w:rsidRPr="009279A9">
              <w:rPr>
                <w:rFonts w:ascii="Times New Roman" w:eastAsia="Times New Roman" w:hAnsi="Times New Roman" w:cs="Times New Roman"/>
                <w:color w:val="auto"/>
                <w:sz w:val="20"/>
                <w:szCs w:val="20"/>
              </w:rPr>
              <w:t>0%</w:t>
            </w:r>
          </w:p>
        </w:tc>
        <w:tc>
          <w:tcPr>
            <w:tcW w:w="810" w:type="dxa"/>
            <w:tcBorders>
              <w:top w:val="nil"/>
              <w:left w:val="nil"/>
              <w:bottom w:val="single" w:sz="4" w:space="0" w:color="auto"/>
              <w:right w:val="single" w:sz="4" w:space="0" w:color="auto"/>
            </w:tcBorders>
            <w:shd w:val="clear" w:color="auto" w:fill="auto"/>
            <w:noWrap/>
            <w:vAlign w:val="center"/>
            <w:hideMark/>
          </w:tcPr>
          <w:p w14:paraId="31E02547" w14:textId="77777777" w:rsidR="000278F3" w:rsidRPr="009279A9" w:rsidRDefault="000278F3" w:rsidP="009279A9">
            <w:pPr>
              <w:spacing w:after="0" w:line="240" w:lineRule="auto"/>
              <w:jc w:val="both"/>
              <w:rPr>
                <w:rFonts w:ascii="Times New Roman" w:eastAsia="Times New Roman" w:hAnsi="Times New Roman" w:cs="Times New Roman"/>
                <w:color w:val="auto"/>
                <w:sz w:val="20"/>
                <w:szCs w:val="20"/>
              </w:rPr>
            </w:pPr>
            <w:r w:rsidRPr="009279A9">
              <w:rPr>
                <w:rFonts w:ascii="Times New Roman" w:eastAsia="Times New Roman" w:hAnsi="Times New Roman" w:cs="Times New Roman"/>
                <w:color w:val="auto"/>
                <w:sz w:val="20"/>
                <w:szCs w:val="20"/>
              </w:rPr>
              <w:t>2,1%</w:t>
            </w:r>
          </w:p>
        </w:tc>
        <w:tc>
          <w:tcPr>
            <w:tcW w:w="720" w:type="dxa"/>
            <w:tcBorders>
              <w:top w:val="nil"/>
              <w:left w:val="nil"/>
              <w:bottom w:val="single" w:sz="4" w:space="0" w:color="auto"/>
              <w:right w:val="single" w:sz="4" w:space="0" w:color="auto"/>
            </w:tcBorders>
            <w:shd w:val="clear" w:color="auto" w:fill="auto"/>
            <w:noWrap/>
            <w:vAlign w:val="center"/>
            <w:hideMark/>
          </w:tcPr>
          <w:p w14:paraId="7F02EABB" w14:textId="77777777" w:rsidR="000278F3" w:rsidRPr="009279A9" w:rsidRDefault="000278F3" w:rsidP="009279A9">
            <w:pPr>
              <w:spacing w:after="0" w:line="240" w:lineRule="auto"/>
              <w:jc w:val="both"/>
              <w:rPr>
                <w:rFonts w:ascii="Times New Roman" w:eastAsia="Times New Roman" w:hAnsi="Times New Roman" w:cs="Times New Roman"/>
                <w:color w:val="auto"/>
                <w:sz w:val="20"/>
                <w:szCs w:val="20"/>
              </w:rPr>
            </w:pPr>
            <w:r w:rsidRPr="009279A9">
              <w:rPr>
                <w:rFonts w:ascii="Times New Roman" w:eastAsia="Times New Roman" w:hAnsi="Times New Roman" w:cs="Times New Roman"/>
                <w:color w:val="auto"/>
                <w:sz w:val="20"/>
                <w:szCs w:val="20"/>
              </w:rPr>
              <w:t>2,3%</w:t>
            </w:r>
          </w:p>
        </w:tc>
        <w:tc>
          <w:tcPr>
            <w:tcW w:w="745" w:type="dxa"/>
            <w:tcBorders>
              <w:top w:val="nil"/>
              <w:left w:val="nil"/>
              <w:bottom w:val="single" w:sz="4" w:space="0" w:color="auto"/>
              <w:right w:val="single" w:sz="4" w:space="0" w:color="auto"/>
            </w:tcBorders>
            <w:shd w:val="clear" w:color="auto" w:fill="auto"/>
            <w:noWrap/>
            <w:vAlign w:val="center"/>
            <w:hideMark/>
          </w:tcPr>
          <w:p w14:paraId="2DF41540" w14:textId="77777777" w:rsidR="000278F3" w:rsidRPr="009279A9" w:rsidRDefault="000278F3" w:rsidP="009279A9">
            <w:pPr>
              <w:spacing w:after="0" w:line="240" w:lineRule="auto"/>
              <w:jc w:val="both"/>
              <w:rPr>
                <w:rFonts w:ascii="Times New Roman" w:eastAsia="Times New Roman" w:hAnsi="Times New Roman" w:cs="Times New Roman"/>
                <w:color w:val="auto"/>
                <w:sz w:val="20"/>
                <w:szCs w:val="20"/>
              </w:rPr>
            </w:pPr>
            <w:r w:rsidRPr="009279A9">
              <w:rPr>
                <w:rFonts w:ascii="Times New Roman" w:eastAsia="Times New Roman" w:hAnsi="Times New Roman" w:cs="Times New Roman"/>
                <w:color w:val="auto"/>
                <w:sz w:val="20"/>
                <w:szCs w:val="20"/>
              </w:rPr>
              <w:t>2,3%</w:t>
            </w:r>
          </w:p>
        </w:tc>
        <w:tc>
          <w:tcPr>
            <w:tcW w:w="1230" w:type="dxa"/>
            <w:tcBorders>
              <w:top w:val="nil"/>
              <w:left w:val="nil"/>
              <w:bottom w:val="single" w:sz="4" w:space="0" w:color="auto"/>
              <w:right w:val="single" w:sz="4" w:space="0" w:color="auto"/>
            </w:tcBorders>
            <w:shd w:val="clear" w:color="auto" w:fill="auto"/>
            <w:noWrap/>
            <w:vAlign w:val="center"/>
            <w:hideMark/>
          </w:tcPr>
          <w:p w14:paraId="07E001E9" w14:textId="77777777" w:rsidR="000278F3" w:rsidRPr="009279A9" w:rsidRDefault="000278F3" w:rsidP="009279A9">
            <w:pPr>
              <w:spacing w:after="0" w:line="240" w:lineRule="auto"/>
              <w:jc w:val="both"/>
              <w:rPr>
                <w:rFonts w:ascii="Times New Roman" w:eastAsia="Times New Roman" w:hAnsi="Times New Roman" w:cs="Times New Roman"/>
                <w:color w:val="auto"/>
                <w:sz w:val="20"/>
                <w:szCs w:val="20"/>
              </w:rPr>
            </w:pPr>
            <w:r w:rsidRPr="009279A9">
              <w:rPr>
                <w:rFonts w:ascii="Times New Roman" w:eastAsia="Times New Roman" w:hAnsi="Times New Roman" w:cs="Times New Roman"/>
                <w:color w:val="auto"/>
                <w:sz w:val="20"/>
                <w:szCs w:val="20"/>
              </w:rPr>
              <w:t>10%</w:t>
            </w:r>
          </w:p>
        </w:tc>
      </w:tr>
    </w:tbl>
    <w:p w14:paraId="7FB470F5" w14:textId="138A0E25" w:rsidR="00070213" w:rsidRPr="00581281" w:rsidRDefault="00F84EE2" w:rsidP="00581281">
      <w:pPr>
        <w:spacing w:line="360" w:lineRule="auto"/>
        <w:jc w:val="both"/>
        <w:rPr>
          <w:rFonts w:ascii="Times New Roman" w:hAnsi="Times New Roman" w:cs="Times New Roman"/>
          <w:color w:val="auto"/>
        </w:rPr>
      </w:pPr>
      <w:r>
        <w:rPr>
          <w:rFonts w:ascii="Times New Roman" w:hAnsi="Times New Roman" w:cs="Times New Roman"/>
          <w:color w:val="auto"/>
        </w:rPr>
        <w:t>Fonte: Bd</w:t>
      </w:r>
      <w:r w:rsidR="00BA3D83" w:rsidRPr="00581281">
        <w:rPr>
          <w:rFonts w:ascii="Times New Roman" w:hAnsi="Times New Roman" w:cs="Times New Roman"/>
          <w:color w:val="auto"/>
        </w:rPr>
        <w:t>PESOE 2023, CGE (2019 a 2022), PQG 2020-2024 e PESOE 2024</w:t>
      </w:r>
    </w:p>
    <w:p w14:paraId="485E6D80" w14:textId="77777777" w:rsidR="00070213" w:rsidRPr="00581281" w:rsidRDefault="00BA3D83" w:rsidP="00581281">
      <w:pPr>
        <w:numPr>
          <w:ilvl w:val="0"/>
          <w:numId w:val="1"/>
        </w:numPr>
        <w:pBdr>
          <w:top w:val="nil"/>
          <w:left w:val="nil"/>
          <w:bottom w:val="nil"/>
          <w:right w:val="nil"/>
          <w:between w:val="nil"/>
        </w:pBdr>
        <w:spacing w:after="0" w:line="360" w:lineRule="auto"/>
        <w:jc w:val="both"/>
        <w:rPr>
          <w:rFonts w:ascii="Times New Roman" w:hAnsi="Times New Roman" w:cs="Times New Roman"/>
          <w:color w:val="auto"/>
        </w:rPr>
      </w:pPr>
      <w:r w:rsidRPr="00581281">
        <w:rPr>
          <w:rFonts w:ascii="Times New Roman" w:hAnsi="Times New Roman" w:cs="Times New Roman"/>
          <w:b/>
          <w:color w:val="auto"/>
        </w:rPr>
        <w:t xml:space="preserve">% de crianças em situação de pobreza recebendo, pelo menos, 3 serviços básicos: </w:t>
      </w:r>
      <w:r w:rsidRPr="00581281">
        <w:rPr>
          <w:rFonts w:ascii="Times New Roman" w:hAnsi="Times New Roman" w:cs="Times New Roman"/>
          <w:color w:val="auto"/>
        </w:rPr>
        <w:t>Em 2019, o cenário base indica 5% e a meta para 2024 foi estabelecida em 10%. Entre 2020 e 2022, houve uma evolução positiva do indicador, subindo de 5% para 7,5%. No entanto, de acordo com a proposta do PESOE 2024, a meta para este indicador é de 8%, ou seja, está abaixo da meta do PQG (10%) para o mesmo ano. Esta redução na meta pode comprometer o fornecimento de serviços essenciais para um segmento vulnerável da população, o que pode gerar um aumento da desigualdade e perpetuar o ciclo de pobreza, desafiando os esforços para melhorar as condições de vida das crianças mais necessitadas.</w:t>
      </w:r>
    </w:p>
    <w:p w14:paraId="0760AB48" w14:textId="4FB1FB4F" w:rsidR="00B54B1F" w:rsidRPr="009279A9" w:rsidRDefault="00BA3D83" w:rsidP="00581281">
      <w:pPr>
        <w:numPr>
          <w:ilvl w:val="0"/>
          <w:numId w:val="1"/>
        </w:numPr>
        <w:pBdr>
          <w:top w:val="nil"/>
          <w:left w:val="nil"/>
          <w:bottom w:val="nil"/>
          <w:right w:val="nil"/>
          <w:between w:val="nil"/>
        </w:pBdr>
        <w:spacing w:after="160" w:line="360" w:lineRule="auto"/>
        <w:jc w:val="both"/>
        <w:rPr>
          <w:rFonts w:ascii="Times New Roman" w:hAnsi="Times New Roman" w:cs="Times New Roman"/>
          <w:color w:val="auto"/>
        </w:rPr>
      </w:pPr>
      <w:r w:rsidRPr="00581281">
        <w:rPr>
          <w:rFonts w:ascii="Times New Roman" w:hAnsi="Times New Roman" w:cs="Times New Roman"/>
          <w:b/>
          <w:color w:val="auto"/>
        </w:rPr>
        <w:t xml:space="preserve">Percentagem de crianças 0 a 5 anos cobertas pela rede de educação pré-escolar. </w:t>
      </w:r>
      <w:r w:rsidRPr="00581281">
        <w:rPr>
          <w:rFonts w:ascii="Times New Roman" w:hAnsi="Times New Roman" w:cs="Times New Roman"/>
          <w:color w:val="auto"/>
        </w:rPr>
        <w:t xml:space="preserve">O governo comprometeu-se a aumentar este indicador de 2% para 10% ao longo do actual quinquénio. Contudo, até ao I semestre de 2023, o governo não conseguiu evoluir mais do que 0,3pp, tendo-se conformado com 2,3% para 2024. A estagnação na expansão da cobertura da educação pré-escolar aponta para desafios substanciais na garantia de acesso </w:t>
      </w:r>
      <w:r w:rsidRPr="00581281">
        <w:rPr>
          <w:rFonts w:ascii="Times New Roman" w:hAnsi="Times New Roman" w:cs="Times New Roman"/>
          <w:color w:val="auto"/>
        </w:rPr>
        <w:lastRenderedPageBreak/>
        <w:t>universal a esse serviço fundamental. O baixo progresso em relação à meta estabelecida no PQG pode resultar em um déficit significativo na preparação e no desenvolvimento infantil. A falta de acesso à educação pré-escolar pode impactar negativamente as habilidades cognitivas, sociais e emocionais das crianças, o que pode influenciar seu desempenho académico futuro e sua capacidade de integração social. Ainda mais, essa lacuna na oferta de educação pré-escolar pode exacerbar disparidades existentes e limitar as oportunidades de desenvolvimento das crianças, comprometendo sua capacidade de atingir seu potencial máximo.</w:t>
      </w:r>
    </w:p>
    <w:p w14:paraId="35204E9B" w14:textId="42314315" w:rsidR="000356E3" w:rsidRPr="00C53D01" w:rsidRDefault="000356E3" w:rsidP="00F84EE2">
      <w:pPr>
        <w:pStyle w:val="Heading1"/>
        <w:numPr>
          <w:ilvl w:val="0"/>
          <w:numId w:val="16"/>
        </w:numPr>
        <w:spacing w:line="360" w:lineRule="auto"/>
        <w:rPr>
          <w:rFonts w:ascii="Times New Roman" w:hAnsi="Times New Roman" w:cs="Times New Roman"/>
          <w:b/>
          <w:color w:val="auto"/>
          <w:sz w:val="24"/>
          <w:szCs w:val="24"/>
        </w:rPr>
      </w:pPr>
      <w:bookmarkStart w:id="12" w:name="_Toc177992749"/>
      <w:r w:rsidRPr="00C53D01">
        <w:rPr>
          <w:rFonts w:ascii="Times New Roman" w:hAnsi="Times New Roman" w:cs="Times New Roman"/>
          <w:b/>
          <w:color w:val="auto"/>
          <w:sz w:val="24"/>
          <w:szCs w:val="24"/>
        </w:rPr>
        <w:t>Desafios e Oportunidades</w:t>
      </w:r>
      <w:bookmarkEnd w:id="12"/>
    </w:p>
    <w:p w14:paraId="33744F06" w14:textId="77777777" w:rsidR="000356E3" w:rsidRPr="00581281" w:rsidRDefault="000356E3" w:rsidP="00581281">
      <w:pPr>
        <w:spacing w:after="160" w:line="360" w:lineRule="auto"/>
        <w:jc w:val="both"/>
        <w:rPr>
          <w:rFonts w:ascii="Times New Roman" w:hAnsi="Times New Roman" w:cs="Times New Roman"/>
          <w:color w:val="auto"/>
        </w:rPr>
      </w:pPr>
      <w:r w:rsidRPr="00581281">
        <w:rPr>
          <w:rFonts w:ascii="Times New Roman" w:hAnsi="Times New Roman" w:cs="Times New Roman"/>
          <w:color w:val="auto"/>
        </w:rPr>
        <w:t>Os principais desafios no financiamento da nutrição infantil em Moçambique incluem a limitada capacidade fiscal do governo, a dependência significativa de doadores internacionais e a dificuldade em monitorar e distribuir adequadamente os recursos alocados. No entanto, há oportunidades para melhorar o cenário, incluindo:</w:t>
      </w:r>
    </w:p>
    <w:p w14:paraId="1008744C" w14:textId="77777777" w:rsidR="000356E3" w:rsidRPr="00581281" w:rsidRDefault="000356E3" w:rsidP="00581281">
      <w:pPr>
        <w:pStyle w:val="ListParagraph"/>
        <w:numPr>
          <w:ilvl w:val="0"/>
          <w:numId w:val="9"/>
        </w:numPr>
        <w:spacing w:after="160" w:line="360" w:lineRule="auto"/>
        <w:jc w:val="both"/>
        <w:rPr>
          <w:rFonts w:ascii="Times New Roman" w:hAnsi="Times New Roman" w:cs="Times New Roman"/>
          <w:color w:val="auto"/>
        </w:rPr>
      </w:pPr>
      <w:r w:rsidRPr="00581281">
        <w:rPr>
          <w:rFonts w:ascii="Times New Roman" w:hAnsi="Times New Roman" w:cs="Times New Roman"/>
          <w:b/>
          <w:bCs/>
          <w:color w:val="auto"/>
        </w:rPr>
        <w:t>Aumentar o investimento público directo</w:t>
      </w:r>
      <w:r w:rsidRPr="00581281">
        <w:rPr>
          <w:rFonts w:ascii="Times New Roman" w:hAnsi="Times New Roman" w:cs="Times New Roman"/>
          <w:color w:val="auto"/>
        </w:rPr>
        <w:t>: É fundamental que o governo continue a aumentar o investimento público nos programas de nutrição infantil e saúde, para reduzir a dependência em relação aos doadores;</w:t>
      </w:r>
    </w:p>
    <w:p w14:paraId="2F62364B" w14:textId="77777777" w:rsidR="000356E3" w:rsidRPr="00581281" w:rsidRDefault="000356E3" w:rsidP="00581281">
      <w:pPr>
        <w:pStyle w:val="ListParagraph"/>
        <w:numPr>
          <w:ilvl w:val="0"/>
          <w:numId w:val="9"/>
        </w:numPr>
        <w:spacing w:after="160" w:line="360" w:lineRule="auto"/>
        <w:jc w:val="both"/>
        <w:rPr>
          <w:rFonts w:ascii="Times New Roman" w:hAnsi="Times New Roman" w:cs="Times New Roman"/>
          <w:color w:val="auto"/>
        </w:rPr>
      </w:pPr>
      <w:r w:rsidRPr="00581281">
        <w:rPr>
          <w:rFonts w:ascii="Times New Roman" w:hAnsi="Times New Roman" w:cs="Times New Roman"/>
          <w:b/>
          <w:bCs/>
          <w:color w:val="auto"/>
        </w:rPr>
        <w:t>Monitoria e transparência</w:t>
      </w:r>
      <w:r w:rsidRPr="00581281">
        <w:rPr>
          <w:rFonts w:ascii="Times New Roman" w:hAnsi="Times New Roman" w:cs="Times New Roman"/>
          <w:color w:val="auto"/>
        </w:rPr>
        <w:t>: O fortalecimento do sistema de monitoria a transparência na utilização dos recursos são essenciais para garantir que os investimentos cheguem aos grupos mais vulneráveis;</w:t>
      </w:r>
    </w:p>
    <w:p w14:paraId="65C994F0" w14:textId="77777777" w:rsidR="000356E3" w:rsidRDefault="000356E3" w:rsidP="00581281">
      <w:pPr>
        <w:pStyle w:val="ListParagraph"/>
        <w:numPr>
          <w:ilvl w:val="0"/>
          <w:numId w:val="9"/>
        </w:numPr>
        <w:spacing w:after="160" w:line="360" w:lineRule="auto"/>
        <w:jc w:val="both"/>
        <w:rPr>
          <w:rFonts w:ascii="Times New Roman" w:hAnsi="Times New Roman" w:cs="Times New Roman"/>
          <w:color w:val="auto"/>
        </w:rPr>
      </w:pPr>
      <w:r w:rsidRPr="00581281">
        <w:rPr>
          <w:rFonts w:ascii="Times New Roman" w:hAnsi="Times New Roman" w:cs="Times New Roman"/>
          <w:b/>
          <w:bCs/>
          <w:color w:val="auto"/>
        </w:rPr>
        <w:t>Integração de programas multissectoriais</w:t>
      </w:r>
      <w:r w:rsidRPr="00581281">
        <w:rPr>
          <w:rFonts w:ascii="Times New Roman" w:hAnsi="Times New Roman" w:cs="Times New Roman"/>
          <w:color w:val="auto"/>
        </w:rPr>
        <w:t>: A integração de intervenções de saúde, educação e protecção social pode melhorar significativamente os resultados de nutrição infantil, reduzindo a desnutrição e a mortalidade infantil.</w:t>
      </w:r>
    </w:p>
    <w:p w14:paraId="1CD7D23D" w14:textId="77777777" w:rsidR="00C53D01" w:rsidRDefault="00C53D01" w:rsidP="00C53D01">
      <w:pPr>
        <w:spacing w:after="160" w:line="360" w:lineRule="auto"/>
        <w:jc w:val="both"/>
        <w:rPr>
          <w:rFonts w:ascii="Times New Roman" w:hAnsi="Times New Roman" w:cs="Times New Roman"/>
          <w:color w:val="auto"/>
        </w:rPr>
      </w:pPr>
    </w:p>
    <w:p w14:paraId="1456500F" w14:textId="77777777" w:rsidR="00C53D01" w:rsidRDefault="00C53D01" w:rsidP="00C53D01">
      <w:pPr>
        <w:spacing w:after="160" w:line="360" w:lineRule="auto"/>
        <w:jc w:val="both"/>
        <w:rPr>
          <w:rFonts w:ascii="Times New Roman" w:hAnsi="Times New Roman" w:cs="Times New Roman"/>
          <w:color w:val="auto"/>
        </w:rPr>
      </w:pPr>
    </w:p>
    <w:p w14:paraId="51622CAE" w14:textId="77777777" w:rsidR="00C53D01" w:rsidRDefault="00C53D01" w:rsidP="00C53D01">
      <w:pPr>
        <w:spacing w:after="160" w:line="360" w:lineRule="auto"/>
        <w:jc w:val="both"/>
        <w:rPr>
          <w:rFonts w:ascii="Times New Roman" w:hAnsi="Times New Roman" w:cs="Times New Roman"/>
          <w:color w:val="auto"/>
        </w:rPr>
      </w:pPr>
    </w:p>
    <w:p w14:paraId="0B3A01A3" w14:textId="77777777" w:rsidR="00C53D01" w:rsidRDefault="00C53D01" w:rsidP="00C53D01">
      <w:pPr>
        <w:spacing w:after="160" w:line="360" w:lineRule="auto"/>
        <w:jc w:val="both"/>
        <w:rPr>
          <w:rFonts w:ascii="Times New Roman" w:hAnsi="Times New Roman" w:cs="Times New Roman"/>
          <w:color w:val="auto"/>
        </w:rPr>
      </w:pPr>
    </w:p>
    <w:p w14:paraId="5DC96788" w14:textId="77777777" w:rsidR="00C53D01" w:rsidRDefault="00C53D01" w:rsidP="00C53D01">
      <w:pPr>
        <w:spacing w:after="160" w:line="360" w:lineRule="auto"/>
        <w:jc w:val="both"/>
        <w:rPr>
          <w:rFonts w:ascii="Times New Roman" w:hAnsi="Times New Roman" w:cs="Times New Roman"/>
          <w:color w:val="auto"/>
        </w:rPr>
      </w:pPr>
    </w:p>
    <w:p w14:paraId="112863CF" w14:textId="77777777" w:rsidR="00C53D01" w:rsidRDefault="00C53D01" w:rsidP="00C53D01">
      <w:pPr>
        <w:spacing w:after="160" w:line="360" w:lineRule="auto"/>
        <w:jc w:val="both"/>
        <w:rPr>
          <w:rFonts w:ascii="Times New Roman" w:hAnsi="Times New Roman" w:cs="Times New Roman"/>
          <w:color w:val="auto"/>
        </w:rPr>
      </w:pPr>
    </w:p>
    <w:p w14:paraId="375ECF18" w14:textId="77777777" w:rsidR="00C53D01" w:rsidRPr="00C53D01" w:rsidRDefault="00C53D01" w:rsidP="00C53D01">
      <w:pPr>
        <w:spacing w:after="160" w:line="360" w:lineRule="auto"/>
        <w:jc w:val="both"/>
        <w:rPr>
          <w:rFonts w:ascii="Times New Roman" w:hAnsi="Times New Roman" w:cs="Times New Roman"/>
          <w:color w:val="auto"/>
        </w:rPr>
      </w:pPr>
    </w:p>
    <w:p w14:paraId="7400E9BF" w14:textId="77777777" w:rsidR="000356E3" w:rsidRDefault="000356E3" w:rsidP="00F84EE2">
      <w:pPr>
        <w:pStyle w:val="Heading1"/>
        <w:numPr>
          <w:ilvl w:val="0"/>
          <w:numId w:val="16"/>
        </w:numPr>
        <w:spacing w:line="360" w:lineRule="auto"/>
        <w:rPr>
          <w:rFonts w:ascii="Times New Roman" w:hAnsi="Times New Roman" w:cs="Times New Roman"/>
          <w:b/>
          <w:color w:val="auto"/>
          <w:sz w:val="24"/>
          <w:szCs w:val="24"/>
        </w:rPr>
      </w:pPr>
      <w:bookmarkStart w:id="13" w:name="_Toc177992750"/>
      <w:r w:rsidRPr="00C53D01">
        <w:rPr>
          <w:rFonts w:ascii="Times New Roman" w:hAnsi="Times New Roman" w:cs="Times New Roman"/>
          <w:b/>
          <w:color w:val="auto"/>
          <w:sz w:val="24"/>
          <w:szCs w:val="24"/>
        </w:rPr>
        <w:t>Conclusão</w:t>
      </w:r>
      <w:bookmarkEnd w:id="13"/>
    </w:p>
    <w:p w14:paraId="037B8329" w14:textId="6776FDF7" w:rsidR="00105C8A" w:rsidRPr="00E25550" w:rsidRDefault="00105C8A" w:rsidP="006A4310">
      <w:pPr>
        <w:spacing w:before="240" w:after="0" w:line="360" w:lineRule="auto"/>
        <w:jc w:val="both"/>
        <w:rPr>
          <w:rFonts w:ascii="Times New Roman" w:hAnsi="Times New Roman" w:cs="Times New Roman"/>
          <w:color w:val="000000" w:themeColor="text1"/>
        </w:rPr>
      </w:pPr>
      <w:r w:rsidRPr="00E25550">
        <w:rPr>
          <w:rFonts w:ascii="Times New Roman" w:hAnsi="Times New Roman" w:cs="Times New Roman"/>
          <w:color w:val="000000" w:themeColor="text1"/>
        </w:rPr>
        <w:t>A análise da alocação orçamental para a primeira infância (0-5 anos) em Moçambique, bem como da eficácia dos recursos na saúde, educação, nutrição e proteção social, revela alguns avanços impulsionados pelo investimento governamental. Destacam-se o aumento dos partos institucionais e a redução das uniões prematuras. Contudo, subsistem severas limitações no financiamento desta faixa etária.</w:t>
      </w:r>
    </w:p>
    <w:p w14:paraId="435618ED" w14:textId="78395F8E" w:rsidR="00105C8A" w:rsidRPr="00105C8A" w:rsidRDefault="00105C8A" w:rsidP="006A4310">
      <w:pPr>
        <w:spacing w:before="240" w:after="0" w:line="360" w:lineRule="auto"/>
        <w:jc w:val="both"/>
        <w:rPr>
          <w:rFonts w:ascii="Times New Roman" w:eastAsia="Times New Roman" w:hAnsi="Times New Roman" w:cs="Times New Roman"/>
          <w:color w:val="auto"/>
        </w:rPr>
      </w:pPr>
      <w:r w:rsidRPr="00105C8A">
        <w:rPr>
          <w:rFonts w:ascii="Times New Roman" w:eastAsia="Times New Roman" w:hAnsi="Times New Roman" w:cs="Times New Roman"/>
          <w:color w:val="auto"/>
        </w:rPr>
        <w:t>A alocação orçamentária no período em análise está aquém dos compromissos de Dakar e Abuja. Essa situação é agravada pelo crescente fosso entre o orçamento nominal e o real nos se</w:t>
      </w:r>
      <w:r>
        <w:rPr>
          <w:rFonts w:ascii="Times New Roman" w:eastAsia="Times New Roman" w:hAnsi="Times New Roman" w:cs="Times New Roman"/>
          <w:color w:val="auto"/>
        </w:rPr>
        <w:t>c</w:t>
      </w:r>
      <w:r w:rsidRPr="00105C8A">
        <w:rPr>
          <w:rFonts w:ascii="Times New Roman" w:eastAsia="Times New Roman" w:hAnsi="Times New Roman" w:cs="Times New Roman"/>
          <w:color w:val="auto"/>
        </w:rPr>
        <w:t xml:space="preserve">tores de saúde e educação, que são fundamentais </w:t>
      </w:r>
      <w:r>
        <w:rPr>
          <w:rFonts w:ascii="Times New Roman" w:eastAsia="Times New Roman" w:hAnsi="Times New Roman" w:cs="Times New Roman"/>
          <w:color w:val="auto"/>
        </w:rPr>
        <w:t>para o desenvolvimento infantil</w:t>
      </w:r>
      <w:r w:rsidRPr="00105C8A">
        <w:rPr>
          <w:rFonts w:ascii="Times New Roman" w:eastAsia="Times New Roman" w:hAnsi="Times New Roman" w:cs="Times New Roman"/>
          <w:color w:val="auto"/>
        </w:rPr>
        <w:t>. Como resultado dessas limitações, a cobertura pré-escolar nacion</w:t>
      </w:r>
      <w:r>
        <w:rPr>
          <w:rFonts w:ascii="Times New Roman" w:eastAsia="Times New Roman" w:hAnsi="Times New Roman" w:cs="Times New Roman"/>
          <w:color w:val="auto"/>
        </w:rPr>
        <w:t>al é inferior a 3%, e menos de 1</w:t>
      </w:r>
      <w:r w:rsidRPr="00105C8A">
        <w:rPr>
          <w:rFonts w:ascii="Times New Roman" w:eastAsia="Times New Roman" w:hAnsi="Times New Roman" w:cs="Times New Roman"/>
          <w:color w:val="auto"/>
        </w:rPr>
        <w:t xml:space="preserve">0% das crianças em situação de pobreza recebem um pacote mínimo de três serviços básicos. </w:t>
      </w:r>
    </w:p>
    <w:p w14:paraId="208370C7" w14:textId="7757644B" w:rsidR="00C53D01" w:rsidRDefault="00105C8A" w:rsidP="006A4310">
      <w:pPr>
        <w:spacing w:before="240" w:after="0" w:line="360" w:lineRule="auto"/>
        <w:jc w:val="both"/>
        <w:rPr>
          <w:rFonts w:ascii="Times New Roman" w:hAnsi="Times New Roman" w:cs="Times New Roman"/>
          <w:color w:val="000000" w:themeColor="text1"/>
        </w:rPr>
      </w:pPr>
      <w:r>
        <w:rPr>
          <w:rFonts w:ascii="Times New Roman" w:hAnsi="Times New Roman" w:cs="Times New Roman"/>
          <w:color w:val="auto"/>
        </w:rPr>
        <w:t>Em suma, o desenvolvimento adequado</w:t>
      </w:r>
      <w:r w:rsidR="000356E3" w:rsidRPr="00581281">
        <w:rPr>
          <w:rFonts w:ascii="Times New Roman" w:hAnsi="Times New Roman" w:cs="Times New Roman"/>
          <w:color w:val="auto"/>
        </w:rPr>
        <w:t xml:space="preserve"> na primeira infância em Moçambique depende de uma alocação orçamental mais eficaz e orientada para as necessi</w:t>
      </w:r>
      <w:r w:rsidR="006A4310">
        <w:rPr>
          <w:rFonts w:ascii="Times New Roman" w:hAnsi="Times New Roman" w:cs="Times New Roman"/>
          <w:color w:val="auto"/>
        </w:rPr>
        <w:t xml:space="preserve">dades específicas das crianças, e para que esta alocação seja alcançada, o governo precisa fortalecer a sua capacidade fiscal </w:t>
      </w:r>
      <w:r w:rsidR="002B18EA" w:rsidRPr="00571482">
        <w:rPr>
          <w:rFonts w:ascii="Times New Roman" w:hAnsi="Times New Roman" w:cs="Times New Roman"/>
          <w:color w:val="000000" w:themeColor="text1"/>
        </w:rPr>
        <w:t xml:space="preserve">e </w:t>
      </w:r>
      <w:r w:rsidR="006A4310">
        <w:rPr>
          <w:rFonts w:ascii="Times New Roman" w:hAnsi="Times New Roman" w:cs="Times New Roman"/>
          <w:color w:val="000000" w:themeColor="text1"/>
        </w:rPr>
        <w:t xml:space="preserve">melhorar a </w:t>
      </w:r>
      <w:r w:rsidR="002B18EA" w:rsidRPr="00571482">
        <w:rPr>
          <w:rFonts w:ascii="Times New Roman" w:hAnsi="Times New Roman" w:cs="Times New Roman"/>
          <w:color w:val="000000" w:themeColor="text1"/>
        </w:rPr>
        <w:t xml:space="preserve">gestão e </w:t>
      </w:r>
      <w:r w:rsidR="006A4310">
        <w:rPr>
          <w:rFonts w:ascii="Times New Roman" w:hAnsi="Times New Roman" w:cs="Times New Roman"/>
          <w:color w:val="000000" w:themeColor="text1"/>
        </w:rPr>
        <w:t xml:space="preserve">o </w:t>
      </w:r>
      <w:r w:rsidR="002B18EA" w:rsidRPr="00571482">
        <w:rPr>
          <w:rFonts w:ascii="Times New Roman" w:hAnsi="Times New Roman" w:cs="Times New Roman"/>
          <w:color w:val="000000" w:themeColor="text1"/>
        </w:rPr>
        <w:t xml:space="preserve">rastreio de recursos financeiros </w:t>
      </w:r>
      <w:r w:rsidR="006A4310">
        <w:rPr>
          <w:rFonts w:ascii="Times New Roman" w:hAnsi="Times New Roman" w:cs="Times New Roman"/>
          <w:color w:val="000000" w:themeColor="text1"/>
        </w:rPr>
        <w:t xml:space="preserve">destinados a </w:t>
      </w:r>
      <w:r w:rsidR="002B18EA" w:rsidRPr="00571482">
        <w:rPr>
          <w:rFonts w:ascii="Times New Roman" w:hAnsi="Times New Roman" w:cs="Times New Roman"/>
          <w:color w:val="000000" w:themeColor="text1"/>
        </w:rPr>
        <w:t>primeira infância.</w:t>
      </w:r>
    </w:p>
    <w:p w14:paraId="1E22821E" w14:textId="77777777" w:rsidR="006A4310" w:rsidRPr="00105C8A" w:rsidRDefault="006A4310" w:rsidP="006A4310">
      <w:pPr>
        <w:spacing w:before="240" w:after="0" w:line="360" w:lineRule="auto"/>
        <w:jc w:val="both"/>
        <w:rPr>
          <w:rFonts w:ascii="Times New Roman" w:hAnsi="Times New Roman" w:cs="Times New Roman"/>
        </w:rPr>
      </w:pPr>
    </w:p>
    <w:p w14:paraId="2E7678C6" w14:textId="299856AB" w:rsidR="00070213" w:rsidRPr="00581281" w:rsidRDefault="00D9426E" w:rsidP="00C53D01">
      <w:pPr>
        <w:pStyle w:val="Heading1"/>
        <w:numPr>
          <w:ilvl w:val="1"/>
          <w:numId w:val="16"/>
        </w:numPr>
        <w:spacing w:line="360" w:lineRule="auto"/>
        <w:rPr>
          <w:rFonts w:ascii="Times New Roman" w:hAnsi="Times New Roman" w:cs="Times New Roman"/>
          <w:b/>
          <w:bCs/>
          <w:color w:val="auto"/>
          <w:sz w:val="24"/>
          <w:szCs w:val="24"/>
        </w:rPr>
      </w:pPr>
      <w:bookmarkStart w:id="14" w:name="_Toc177992751"/>
      <w:r w:rsidRPr="00581281">
        <w:rPr>
          <w:rFonts w:ascii="Times New Roman" w:hAnsi="Times New Roman" w:cs="Times New Roman"/>
          <w:b/>
          <w:bCs/>
          <w:color w:val="auto"/>
          <w:sz w:val="24"/>
          <w:szCs w:val="24"/>
        </w:rPr>
        <w:t>Principais Recomendações</w:t>
      </w:r>
      <w:bookmarkEnd w:id="14"/>
    </w:p>
    <w:p w14:paraId="64551EF6" w14:textId="030386B8" w:rsidR="000356E3" w:rsidRPr="00581281" w:rsidRDefault="000356E3" w:rsidP="00581281">
      <w:pPr>
        <w:spacing w:after="160" w:line="360" w:lineRule="auto"/>
        <w:jc w:val="both"/>
        <w:rPr>
          <w:rFonts w:ascii="Times New Roman" w:hAnsi="Times New Roman" w:cs="Times New Roman"/>
          <w:color w:val="auto"/>
        </w:rPr>
      </w:pPr>
      <w:r w:rsidRPr="00581281">
        <w:rPr>
          <w:rFonts w:ascii="Times New Roman" w:hAnsi="Times New Roman" w:cs="Times New Roman"/>
          <w:color w:val="auto"/>
        </w:rPr>
        <w:t>Com base na análise realizada, as seguintes recomendações são propostas para melhorar a alocação orçamental e a situação nutricional da primeira infância em Moçambique:</w:t>
      </w:r>
    </w:p>
    <w:p w14:paraId="19D9DF7F" w14:textId="07DE04FE" w:rsidR="26C53724" w:rsidRPr="00581281" w:rsidRDefault="4D21970E" w:rsidP="00581281">
      <w:pPr>
        <w:numPr>
          <w:ilvl w:val="0"/>
          <w:numId w:val="6"/>
        </w:numPr>
        <w:pBdr>
          <w:top w:val="nil"/>
          <w:left w:val="nil"/>
          <w:bottom w:val="nil"/>
          <w:right w:val="nil"/>
          <w:between w:val="nil"/>
        </w:pBdr>
        <w:spacing w:after="0" w:line="360" w:lineRule="auto"/>
        <w:jc w:val="both"/>
        <w:rPr>
          <w:rFonts w:ascii="Times New Roman" w:hAnsi="Times New Roman" w:cs="Times New Roman"/>
          <w:color w:val="auto"/>
        </w:rPr>
      </w:pPr>
      <w:r w:rsidRPr="00581281">
        <w:rPr>
          <w:rFonts w:ascii="Times New Roman" w:hAnsi="Times New Roman" w:cs="Times New Roman"/>
          <w:color w:val="auto"/>
        </w:rPr>
        <w:t>Garantir que a alocação de recursos esteja alinhada com os compr</w:t>
      </w:r>
      <w:r w:rsidR="009E21A4" w:rsidRPr="00581281">
        <w:rPr>
          <w:rFonts w:ascii="Times New Roman" w:hAnsi="Times New Roman" w:cs="Times New Roman"/>
          <w:color w:val="auto"/>
        </w:rPr>
        <w:t xml:space="preserve">omissos internacionais do país </w:t>
      </w:r>
      <w:r w:rsidR="0215279D" w:rsidRPr="00581281">
        <w:rPr>
          <w:rFonts w:ascii="Times New Roman" w:hAnsi="Times New Roman" w:cs="Times New Roman"/>
          <w:color w:val="auto"/>
        </w:rPr>
        <w:t>(</w:t>
      </w:r>
      <w:r w:rsidR="566C51EC" w:rsidRPr="00581281">
        <w:rPr>
          <w:rFonts w:ascii="Times New Roman" w:hAnsi="Times New Roman" w:cs="Times New Roman"/>
          <w:color w:val="auto"/>
        </w:rPr>
        <w:t>D</w:t>
      </w:r>
      <w:r w:rsidRPr="00581281">
        <w:rPr>
          <w:rFonts w:ascii="Times New Roman" w:hAnsi="Times New Roman" w:cs="Times New Roman"/>
          <w:color w:val="auto"/>
        </w:rPr>
        <w:t>e Dakar e da Declaração de Abuja</w:t>
      </w:r>
      <w:r w:rsidR="4D65879C" w:rsidRPr="00581281">
        <w:rPr>
          <w:rFonts w:ascii="Times New Roman" w:hAnsi="Times New Roman" w:cs="Times New Roman"/>
          <w:color w:val="auto"/>
        </w:rPr>
        <w:t>)</w:t>
      </w:r>
      <w:r w:rsidRPr="00581281">
        <w:rPr>
          <w:rFonts w:ascii="Times New Roman" w:hAnsi="Times New Roman" w:cs="Times New Roman"/>
          <w:color w:val="auto"/>
        </w:rPr>
        <w:t>. Assegurar a consistência na planificação e execução do</w:t>
      </w:r>
      <w:r w:rsidR="009E21A4" w:rsidRPr="00581281">
        <w:rPr>
          <w:rFonts w:ascii="Times New Roman" w:hAnsi="Times New Roman" w:cs="Times New Roman"/>
          <w:color w:val="auto"/>
        </w:rPr>
        <w:t xml:space="preserve">s recursos, alinhando-os com </w:t>
      </w:r>
      <w:r w:rsidRPr="00581281">
        <w:rPr>
          <w:rFonts w:ascii="Times New Roman" w:hAnsi="Times New Roman" w:cs="Times New Roman"/>
          <w:color w:val="auto"/>
        </w:rPr>
        <w:t>os obje</w:t>
      </w:r>
      <w:r w:rsidR="41484827" w:rsidRPr="00581281">
        <w:rPr>
          <w:rFonts w:ascii="Times New Roman" w:hAnsi="Times New Roman" w:cs="Times New Roman"/>
          <w:color w:val="auto"/>
        </w:rPr>
        <w:t>c</w:t>
      </w:r>
      <w:r w:rsidRPr="00581281">
        <w:rPr>
          <w:rFonts w:ascii="Times New Roman" w:hAnsi="Times New Roman" w:cs="Times New Roman"/>
          <w:color w:val="auto"/>
        </w:rPr>
        <w:t>tivos estratégicos</w:t>
      </w:r>
      <w:r w:rsidR="35F05F86" w:rsidRPr="00581281">
        <w:rPr>
          <w:rFonts w:ascii="Times New Roman" w:hAnsi="Times New Roman" w:cs="Times New Roman"/>
          <w:color w:val="auto"/>
        </w:rPr>
        <w:t>;</w:t>
      </w:r>
    </w:p>
    <w:p w14:paraId="0B65EB23" w14:textId="77777777" w:rsidR="003E0B52" w:rsidRPr="00581281" w:rsidRDefault="003E0B52" w:rsidP="00581281">
      <w:pPr>
        <w:pStyle w:val="ListParagraph"/>
        <w:numPr>
          <w:ilvl w:val="0"/>
          <w:numId w:val="6"/>
        </w:numPr>
        <w:spacing w:after="160" w:line="360" w:lineRule="auto"/>
        <w:jc w:val="both"/>
        <w:rPr>
          <w:rFonts w:ascii="Times New Roman" w:hAnsi="Times New Roman" w:cs="Times New Roman"/>
          <w:color w:val="auto"/>
        </w:rPr>
      </w:pPr>
      <w:r w:rsidRPr="00581281">
        <w:rPr>
          <w:rFonts w:ascii="Times New Roman" w:hAnsi="Times New Roman" w:cs="Times New Roman"/>
          <w:color w:val="auto"/>
        </w:rPr>
        <w:t>Priorizar a nutrição infantil, aumentando a alocação orçamental específica para a nutrição infantil, assegurando que pelo menos 5% do orçamento de saúde seja destinado a programas de nutrição até 2025;</w:t>
      </w:r>
    </w:p>
    <w:p w14:paraId="40C65975" w14:textId="3D1AEF76" w:rsidR="00070213" w:rsidRPr="00581281" w:rsidRDefault="009E21A4" w:rsidP="00581281">
      <w:pPr>
        <w:numPr>
          <w:ilvl w:val="0"/>
          <w:numId w:val="6"/>
        </w:numPr>
        <w:pBdr>
          <w:top w:val="nil"/>
          <w:left w:val="nil"/>
          <w:bottom w:val="nil"/>
          <w:right w:val="nil"/>
          <w:between w:val="nil"/>
        </w:pBdr>
        <w:spacing w:after="0" w:line="360" w:lineRule="auto"/>
        <w:jc w:val="both"/>
        <w:rPr>
          <w:rFonts w:ascii="Times New Roman" w:hAnsi="Times New Roman" w:cs="Times New Roman"/>
          <w:color w:val="auto"/>
        </w:rPr>
      </w:pPr>
      <w:r w:rsidRPr="00581281">
        <w:rPr>
          <w:rFonts w:ascii="Times New Roman" w:hAnsi="Times New Roman" w:cs="Times New Roman"/>
          <w:color w:val="auto"/>
        </w:rPr>
        <w:lastRenderedPageBreak/>
        <w:t>I</w:t>
      </w:r>
      <w:r w:rsidR="00BA3D83" w:rsidRPr="00581281">
        <w:rPr>
          <w:rFonts w:ascii="Times New Roman" w:hAnsi="Times New Roman" w:cs="Times New Roman"/>
          <w:color w:val="auto"/>
        </w:rPr>
        <w:t xml:space="preserve">ncrementar </w:t>
      </w:r>
      <w:r w:rsidR="002903B3" w:rsidRPr="00581281">
        <w:rPr>
          <w:rFonts w:ascii="Times New Roman" w:hAnsi="Times New Roman" w:cs="Times New Roman"/>
          <w:color w:val="auto"/>
        </w:rPr>
        <w:t xml:space="preserve">progressivamente os </w:t>
      </w:r>
      <w:r w:rsidR="00BA3D83" w:rsidRPr="00581281">
        <w:rPr>
          <w:rFonts w:ascii="Times New Roman" w:hAnsi="Times New Roman" w:cs="Times New Roman"/>
          <w:color w:val="auto"/>
        </w:rPr>
        <w:t>investimentos nos se</w:t>
      </w:r>
      <w:r w:rsidR="00B353D0" w:rsidRPr="00581281">
        <w:rPr>
          <w:rFonts w:ascii="Times New Roman" w:hAnsi="Times New Roman" w:cs="Times New Roman"/>
          <w:color w:val="auto"/>
        </w:rPr>
        <w:t>c</w:t>
      </w:r>
      <w:r w:rsidR="00BA3D83" w:rsidRPr="00581281">
        <w:rPr>
          <w:rFonts w:ascii="Times New Roman" w:hAnsi="Times New Roman" w:cs="Times New Roman"/>
          <w:color w:val="auto"/>
        </w:rPr>
        <w:t>tores de educação</w:t>
      </w:r>
      <w:r w:rsidR="23A01F38" w:rsidRPr="00581281">
        <w:rPr>
          <w:rFonts w:ascii="Times New Roman" w:hAnsi="Times New Roman" w:cs="Times New Roman"/>
          <w:color w:val="auto"/>
        </w:rPr>
        <w:t xml:space="preserve"> pre escolar</w:t>
      </w:r>
      <w:r w:rsidR="00BA3D83" w:rsidRPr="00581281">
        <w:rPr>
          <w:rFonts w:ascii="Times New Roman" w:hAnsi="Times New Roman" w:cs="Times New Roman"/>
          <w:color w:val="auto"/>
        </w:rPr>
        <w:t xml:space="preserve"> e saúde</w:t>
      </w:r>
      <w:r w:rsidR="0545FF0D" w:rsidRPr="00581281">
        <w:rPr>
          <w:rFonts w:ascii="Times New Roman" w:hAnsi="Times New Roman" w:cs="Times New Roman"/>
          <w:color w:val="auto"/>
        </w:rPr>
        <w:t xml:space="preserve"> com foco nos 0-5 anos de idade</w:t>
      </w:r>
      <w:r w:rsidR="00BA3D83" w:rsidRPr="00581281">
        <w:rPr>
          <w:rFonts w:ascii="Times New Roman" w:hAnsi="Times New Roman" w:cs="Times New Roman"/>
          <w:color w:val="auto"/>
        </w:rPr>
        <w:t xml:space="preserve">, ajustando-os anualmente </w:t>
      </w:r>
      <w:r w:rsidR="00CC40BD" w:rsidRPr="00581281">
        <w:rPr>
          <w:rFonts w:ascii="Times New Roman" w:hAnsi="Times New Roman" w:cs="Times New Roman"/>
          <w:color w:val="auto"/>
        </w:rPr>
        <w:t>à</w:t>
      </w:r>
      <w:r w:rsidR="00BA3D83" w:rsidRPr="00581281">
        <w:rPr>
          <w:rFonts w:ascii="Times New Roman" w:hAnsi="Times New Roman" w:cs="Times New Roman"/>
          <w:color w:val="auto"/>
        </w:rPr>
        <w:t xml:space="preserve"> inflação </w:t>
      </w:r>
      <w:r w:rsidR="00CC40BD" w:rsidRPr="00581281">
        <w:rPr>
          <w:rFonts w:ascii="Times New Roman" w:hAnsi="Times New Roman" w:cs="Times New Roman"/>
          <w:color w:val="auto"/>
        </w:rPr>
        <w:t xml:space="preserve">média prevista </w:t>
      </w:r>
      <w:r w:rsidR="00BA3D83" w:rsidRPr="00581281">
        <w:rPr>
          <w:rFonts w:ascii="Times New Roman" w:hAnsi="Times New Roman" w:cs="Times New Roman"/>
          <w:color w:val="auto"/>
        </w:rPr>
        <w:t xml:space="preserve">e garantir a robustez dos </w:t>
      </w:r>
      <w:r w:rsidR="00CC40BD" w:rsidRPr="00581281">
        <w:rPr>
          <w:rFonts w:ascii="Times New Roman" w:hAnsi="Times New Roman" w:cs="Times New Roman"/>
          <w:color w:val="auto"/>
        </w:rPr>
        <w:t>serviços</w:t>
      </w:r>
      <w:r w:rsidR="20830AE9" w:rsidRPr="00581281">
        <w:rPr>
          <w:rFonts w:ascii="Times New Roman" w:hAnsi="Times New Roman" w:cs="Times New Roman"/>
          <w:color w:val="auto"/>
        </w:rPr>
        <w:t xml:space="preserve"> de DPI</w:t>
      </w:r>
      <w:r w:rsidR="002903B3" w:rsidRPr="00581281">
        <w:rPr>
          <w:rFonts w:ascii="Times New Roman" w:hAnsi="Times New Roman" w:cs="Times New Roman"/>
          <w:color w:val="auto"/>
        </w:rPr>
        <w:t>;</w:t>
      </w:r>
    </w:p>
    <w:p w14:paraId="1462B4E0" w14:textId="73709DB9" w:rsidR="00070213" w:rsidRPr="00581281" w:rsidRDefault="00BA3D83" w:rsidP="00581281">
      <w:pPr>
        <w:numPr>
          <w:ilvl w:val="0"/>
          <w:numId w:val="6"/>
        </w:numPr>
        <w:pBdr>
          <w:top w:val="nil"/>
          <w:left w:val="nil"/>
          <w:bottom w:val="nil"/>
          <w:right w:val="nil"/>
          <w:between w:val="nil"/>
        </w:pBdr>
        <w:spacing w:after="0" w:line="360" w:lineRule="auto"/>
        <w:jc w:val="both"/>
        <w:rPr>
          <w:rFonts w:ascii="Times New Roman" w:hAnsi="Times New Roman" w:cs="Times New Roman"/>
          <w:color w:val="auto"/>
        </w:rPr>
      </w:pPr>
      <w:r w:rsidRPr="00581281">
        <w:rPr>
          <w:rFonts w:ascii="Times New Roman" w:hAnsi="Times New Roman" w:cs="Times New Roman"/>
          <w:color w:val="auto"/>
        </w:rPr>
        <w:t>Refinar a distribuição das metas anuais e indicadores, promovendo um avanço mais equilibrado ao longo do período do PQG e evitando a concentração nos últimos anos</w:t>
      </w:r>
      <w:r w:rsidR="002903B3" w:rsidRPr="00581281">
        <w:rPr>
          <w:rFonts w:ascii="Times New Roman" w:hAnsi="Times New Roman" w:cs="Times New Roman"/>
          <w:color w:val="auto"/>
        </w:rPr>
        <w:t>;</w:t>
      </w:r>
    </w:p>
    <w:p w14:paraId="29C1A0E9" w14:textId="6CCC3DD2" w:rsidR="00070213" w:rsidRPr="00581281" w:rsidRDefault="00BA3D83" w:rsidP="00581281">
      <w:pPr>
        <w:numPr>
          <w:ilvl w:val="0"/>
          <w:numId w:val="6"/>
        </w:numPr>
        <w:pBdr>
          <w:top w:val="nil"/>
          <w:left w:val="nil"/>
          <w:bottom w:val="nil"/>
          <w:right w:val="nil"/>
          <w:between w:val="nil"/>
        </w:pBdr>
        <w:spacing w:after="0" w:line="360" w:lineRule="auto"/>
        <w:jc w:val="both"/>
        <w:rPr>
          <w:rFonts w:ascii="Times New Roman" w:hAnsi="Times New Roman" w:cs="Times New Roman"/>
          <w:color w:val="auto"/>
        </w:rPr>
      </w:pPr>
      <w:r w:rsidRPr="00581281">
        <w:rPr>
          <w:rFonts w:ascii="Times New Roman" w:hAnsi="Times New Roman" w:cs="Times New Roman"/>
          <w:color w:val="auto"/>
        </w:rPr>
        <w:t xml:space="preserve">Melhorar a clareza e a abrangência dos relatórios sobre indicadores </w:t>
      </w:r>
      <w:r w:rsidR="00B353D0" w:rsidRPr="00581281">
        <w:rPr>
          <w:rFonts w:ascii="Times New Roman" w:hAnsi="Times New Roman" w:cs="Times New Roman"/>
          <w:color w:val="auto"/>
        </w:rPr>
        <w:t>económicos</w:t>
      </w:r>
      <w:r w:rsidRPr="00581281">
        <w:rPr>
          <w:rFonts w:ascii="Times New Roman" w:hAnsi="Times New Roman" w:cs="Times New Roman"/>
          <w:color w:val="auto"/>
        </w:rPr>
        <w:t xml:space="preserve"> e sociais, garantindo que a sociedade tenha acesso e compreenda adequadamente as informações financeiras</w:t>
      </w:r>
      <w:r w:rsidR="002903B3" w:rsidRPr="00581281">
        <w:rPr>
          <w:rFonts w:ascii="Times New Roman" w:hAnsi="Times New Roman" w:cs="Times New Roman"/>
          <w:color w:val="auto"/>
        </w:rPr>
        <w:t>;</w:t>
      </w:r>
    </w:p>
    <w:p w14:paraId="0446D294" w14:textId="49A4F150" w:rsidR="00070213" w:rsidRPr="00581281" w:rsidRDefault="00BA3D83" w:rsidP="00581281">
      <w:pPr>
        <w:numPr>
          <w:ilvl w:val="0"/>
          <w:numId w:val="6"/>
        </w:numPr>
        <w:pBdr>
          <w:top w:val="nil"/>
          <w:left w:val="nil"/>
          <w:bottom w:val="nil"/>
          <w:right w:val="nil"/>
          <w:between w:val="nil"/>
        </w:pBdr>
        <w:spacing w:after="0" w:line="360" w:lineRule="auto"/>
        <w:jc w:val="both"/>
        <w:rPr>
          <w:rFonts w:ascii="Times New Roman" w:hAnsi="Times New Roman" w:cs="Times New Roman"/>
          <w:color w:val="auto"/>
        </w:rPr>
      </w:pPr>
      <w:r w:rsidRPr="00581281">
        <w:rPr>
          <w:rFonts w:ascii="Times New Roman" w:hAnsi="Times New Roman" w:cs="Times New Roman"/>
          <w:color w:val="auto"/>
        </w:rPr>
        <w:t>Alinhamento Operacional: Assegurar que a planificação dos indicadores seja realista e que todos os esforços anuais estejam alinhados com a política estratégica do PQG</w:t>
      </w:r>
      <w:r w:rsidR="002903B3" w:rsidRPr="00581281">
        <w:rPr>
          <w:rFonts w:ascii="Times New Roman" w:hAnsi="Times New Roman" w:cs="Times New Roman"/>
          <w:color w:val="auto"/>
        </w:rPr>
        <w:t>;</w:t>
      </w:r>
    </w:p>
    <w:p w14:paraId="2C0939A1" w14:textId="0D75436B" w:rsidR="00070213" w:rsidRPr="00581281" w:rsidRDefault="00BA3D83" w:rsidP="00581281">
      <w:pPr>
        <w:numPr>
          <w:ilvl w:val="0"/>
          <w:numId w:val="6"/>
        </w:numPr>
        <w:pBdr>
          <w:top w:val="nil"/>
          <w:left w:val="nil"/>
          <w:bottom w:val="nil"/>
          <w:right w:val="nil"/>
          <w:between w:val="nil"/>
        </w:pBdr>
        <w:spacing w:after="0" w:line="360" w:lineRule="auto"/>
        <w:jc w:val="both"/>
        <w:rPr>
          <w:rFonts w:ascii="Times New Roman" w:hAnsi="Times New Roman" w:cs="Times New Roman"/>
          <w:color w:val="auto"/>
        </w:rPr>
      </w:pPr>
      <w:r w:rsidRPr="00581281">
        <w:rPr>
          <w:rFonts w:ascii="Times New Roman" w:hAnsi="Times New Roman" w:cs="Times New Roman"/>
          <w:color w:val="auto"/>
        </w:rPr>
        <w:t>Criar linhas orçamentárias exclusivas no orçamento para crianças de 0 a 5 anos, abrangendo saúde, nutrição, educação pré-escolar e outros serviços essenciais</w:t>
      </w:r>
      <w:r w:rsidR="002903B3" w:rsidRPr="00581281">
        <w:rPr>
          <w:rFonts w:ascii="Times New Roman" w:hAnsi="Times New Roman" w:cs="Times New Roman"/>
          <w:color w:val="auto"/>
        </w:rPr>
        <w:t>;</w:t>
      </w:r>
    </w:p>
    <w:p w14:paraId="78F4A25D" w14:textId="7948FEF3" w:rsidR="00070213" w:rsidRPr="00581281" w:rsidRDefault="00BA3D83" w:rsidP="00581281">
      <w:pPr>
        <w:numPr>
          <w:ilvl w:val="0"/>
          <w:numId w:val="6"/>
        </w:numPr>
        <w:pBdr>
          <w:top w:val="nil"/>
          <w:left w:val="nil"/>
          <w:bottom w:val="nil"/>
          <w:right w:val="nil"/>
          <w:between w:val="nil"/>
        </w:pBdr>
        <w:spacing w:after="0" w:line="360" w:lineRule="auto"/>
        <w:jc w:val="both"/>
        <w:rPr>
          <w:rFonts w:ascii="Times New Roman" w:hAnsi="Times New Roman" w:cs="Times New Roman"/>
          <w:color w:val="auto"/>
        </w:rPr>
      </w:pPr>
      <w:r w:rsidRPr="00581281">
        <w:rPr>
          <w:rFonts w:ascii="Times New Roman" w:hAnsi="Times New Roman" w:cs="Times New Roman"/>
          <w:color w:val="auto"/>
        </w:rPr>
        <w:t>Incentivar parcerias com organizações internacionais e ONGs para apoio financeiro e técnico, e coordenar com outros ministérios para garantir a integração e eficiência dos investimentos</w:t>
      </w:r>
      <w:r w:rsidR="0D7185CA" w:rsidRPr="00581281">
        <w:rPr>
          <w:rFonts w:ascii="Times New Roman" w:hAnsi="Times New Roman" w:cs="Times New Roman"/>
          <w:color w:val="auto"/>
        </w:rPr>
        <w:t xml:space="preserve"> no DPI</w:t>
      </w:r>
      <w:r w:rsidR="002903B3" w:rsidRPr="00581281">
        <w:rPr>
          <w:rFonts w:ascii="Times New Roman" w:hAnsi="Times New Roman" w:cs="Times New Roman"/>
          <w:color w:val="auto"/>
        </w:rPr>
        <w:t>;</w:t>
      </w:r>
    </w:p>
    <w:p w14:paraId="324575D2" w14:textId="77777777" w:rsidR="00AD5229" w:rsidRPr="00581281" w:rsidRDefault="00AD5229" w:rsidP="00581281">
      <w:pPr>
        <w:numPr>
          <w:ilvl w:val="0"/>
          <w:numId w:val="6"/>
        </w:numPr>
        <w:pBdr>
          <w:top w:val="nil"/>
          <w:left w:val="nil"/>
          <w:bottom w:val="nil"/>
          <w:right w:val="nil"/>
          <w:between w:val="nil"/>
        </w:pBdr>
        <w:spacing w:after="0" w:line="360" w:lineRule="auto"/>
        <w:jc w:val="both"/>
        <w:rPr>
          <w:rFonts w:ascii="Times New Roman" w:hAnsi="Times New Roman" w:cs="Times New Roman"/>
          <w:color w:val="auto"/>
        </w:rPr>
      </w:pPr>
      <w:r w:rsidRPr="00581281">
        <w:rPr>
          <w:rFonts w:ascii="Times New Roman" w:hAnsi="Times New Roman" w:cs="Times New Roman"/>
          <w:color w:val="auto"/>
        </w:rPr>
        <w:t>Fortalecer a coordenação entre os sectores, promovendo uma abordagem interministerial que envolva saúde, educação e protecção social para alcançar melhores resultados;</w:t>
      </w:r>
    </w:p>
    <w:p w14:paraId="2DC5D767" w14:textId="77777777" w:rsidR="00AD5229" w:rsidRPr="00581281" w:rsidRDefault="00AD5229" w:rsidP="00581281">
      <w:pPr>
        <w:numPr>
          <w:ilvl w:val="0"/>
          <w:numId w:val="6"/>
        </w:numPr>
        <w:pBdr>
          <w:top w:val="nil"/>
          <w:left w:val="nil"/>
          <w:bottom w:val="nil"/>
          <w:right w:val="nil"/>
          <w:between w:val="nil"/>
        </w:pBdr>
        <w:spacing w:after="0" w:line="360" w:lineRule="auto"/>
        <w:jc w:val="both"/>
        <w:rPr>
          <w:rFonts w:ascii="Times New Roman" w:hAnsi="Times New Roman" w:cs="Times New Roman"/>
          <w:color w:val="auto"/>
        </w:rPr>
      </w:pPr>
      <w:r w:rsidRPr="00581281">
        <w:rPr>
          <w:rFonts w:ascii="Times New Roman" w:hAnsi="Times New Roman" w:cs="Times New Roman"/>
          <w:color w:val="auto"/>
        </w:rPr>
        <w:t>Fortalecer as parcerias com a sociedade civil, engajando organizações da sociedade civil e doadores internacionais na implementação e monitoria dos programas de nutrição;</w:t>
      </w:r>
    </w:p>
    <w:p w14:paraId="02E995F4" w14:textId="142CFECE" w:rsidR="00AD5229" w:rsidRPr="00581281" w:rsidRDefault="00AD5229" w:rsidP="00581281">
      <w:pPr>
        <w:numPr>
          <w:ilvl w:val="0"/>
          <w:numId w:val="6"/>
        </w:numPr>
        <w:pBdr>
          <w:top w:val="nil"/>
          <w:left w:val="nil"/>
          <w:bottom w:val="nil"/>
          <w:right w:val="nil"/>
          <w:between w:val="nil"/>
        </w:pBdr>
        <w:spacing w:after="0" w:line="360" w:lineRule="auto"/>
        <w:jc w:val="both"/>
        <w:rPr>
          <w:rFonts w:ascii="Times New Roman" w:hAnsi="Times New Roman" w:cs="Times New Roman"/>
          <w:color w:val="auto"/>
        </w:rPr>
      </w:pPr>
      <w:r w:rsidRPr="00581281">
        <w:rPr>
          <w:rFonts w:ascii="Times New Roman" w:hAnsi="Times New Roman" w:cs="Times New Roman"/>
          <w:color w:val="auto"/>
        </w:rPr>
        <w:t>Desenvolver programas de educação nutricional, aumentando a conscientização e a formação das famílias sobre boas práticas de alimentação infantil e o acesso a serviços de saúde;</w:t>
      </w:r>
    </w:p>
    <w:p w14:paraId="6179AAD1" w14:textId="236966F7" w:rsidR="00070213" w:rsidRPr="00581281" w:rsidRDefault="00BA3D83" w:rsidP="00581281">
      <w:pPr>
        <w:numPr>
          <w:ilvl w:val="0"/>
          <w:numId w:val="6"/>
        </w:numPr>
        <w:pBdr>
          <w:top w:val="nil"/>
          <w:left w:val="nil"/>
          <w:bottom w:val="nil"/>
          <w:right w:val="nil"/>
          <w:between w:val="nil"/>
        </w:pBdr>
        <w:spacing w:after="0" w:line="360" w:lineRule="auto"/>
        <w:jc w:val="both"/>
        <w:rPr>
          <w:rFonts w:ascii="Times New Roman" w:hAnsi="Times New Roman" w:cs="Times New Roman"/>
          <w:color w:val="auto"/>
        </w:rPr>
      </w:pPr>
      <w:r w:rsidRPr="00581281">
        <w:rPr>
          <w:rFonts w:ascii="Times New Roman" w:hAnsi="Times New Roman" w:cs="Times New Roman"/>
          <w:color w:val="auto"/>
        </w:rPr>
        <w:t xml:space="preserve">Estabelecer mecanismos para desagregar e monitorar o orçamento nacional, especificando claramente os investimentos em programas </w:t>
      </w:r>
      <w:r w:rsidR="00B353D0" w:rsidRPr="00581281">
        <w:rPr>
          <w:rFonts w:ascii="Times New Roman" w:hAnsi="Times New Roman" w:cs="Times New Roman"/>
          <w:color w:val="auto"/>
        </w:rPr>
        <w:t>direccionados</w:t>
      </w:r>
      <w:r w:rsidRPr="00581281">
        <w:rPr>
          <w:rFonts w:ascii="Times New Roman" w:hAnsi="Times New Roman" w:cs="Times New Roman"/>
          <w:color w:val="auto"/>
        </w:rPr>
        <w:t xml:space="preserve"> às crianças</w:t>
      </w:r>
      <w:r w:rsidR="00AD5229" w:rsidRPr="00581281">
        <w:rPr>
          <w:rFonts w:ascii="Times New Roman" w:hAnsi="Times New Roman" w:cs="Times New Roman"/>
          <w:color w:val="auto"/>
        </w:rPr>
        <w:t>;</w:t>
      </w:r>
    </w:p>
    <w:p w14:paraId="29B7AF8F" w14:textId="2102526E" w:rsidR="009E21A4" w:rsidRDefault="00BA3D83" w:rsidP="00581281">
      <w:pPr>
        <w:numPr>
          <w:ilvl w:val="0"/>
          <w:numId w:val="6"/>
        </w:numPr>
        <w:pBdr>
          <w:top w:val="nil"/>
          <w:left w:val="nil"/>
          <w:bottom w:val="nil"/>
          <w:right w:val="nil"/>
          <w:between w:val="nil"/>
        </w:pBdr>
        <w:spacing w:line="360" w:lineRule="auto"/>
        <w:jc w:val="both"/>
        <w:rPr>
          <w:rFonts w:ascii="Times New Roman" w:hAnsi="Times New Roman" w:cs="Times New Roman"/>
          <w:color w:val="auto"/>
        </w:rPr>
      </w:pPr>
      <w:r w:rsidRPr="00581281">
        <w:rPr>
          <w:rFonts w:ascii="Times New Roman" w:hAnsi="Times New Roman" w:cs="Times New Roman"/>
          <w:color w:val="auto"/>
        </w:rPr>
        <w:t>Desenvolver mecanismos para envolver a sociedade civil na fiscalização e monitoramento dos recursos alocados à primeira infância</w:t>
      </w:r>
      <w:r w:rsidR="00AD5229" w:rsidRPr="00581281">
        <w:rPr>
          <w:rFonts w:ascii="Times New Roman" w:hAnsi="Times New Roman" w:cs="Times New Roman"/>
          <w:color w:val="auto"/>
        </w:rPr>
        <w:t>.</w:t>
      </w:r>
      <w:bookmarkStart w:id="15" w:name="_Toc177992752"/>
    </w:p>
    <w:p w14:paraId="3EC54FD6" w14:textId="77777777" w:rsidR="006A4310" w:rsidRDefault="006A4310" w:rsidP="006A4310">
      <w:pPr>
        <w:pBdr>
          <w:top w:val="nil"/>
          <w:left w:val="nil"/>
          <w:bottom w:val="nil"/>
          <w:right w:val="nil"/>
          <w:between w:val="nil"/>
        </w:pBdr>
        <w:spacing w:line="360" w:lineRule="auto"/>
        <w:jc w:val="both"/>
        <w:rPr>
          <w:rFonts w:ascii="Times New Roman" w:hAnsi="Times New Roman" w:cs="Times New Roman"/>
          <w:color w:val="auto"/>
        </w:rPr>
      </w:pPr>
    </w:p>
    <w:p w14:paraId="721CFD02" w14:textId="77777777" w:rsidR="006A4310" w:rsidRPr="00105C8A" w:rsidRDefault="006A4310" w:rsidP="006A4310">
      <w:pPr>
        <w:pBdr>
          <w:top w:val="nil"/>
          <w:left w:val="nil"/>
          <w:bottom w:val="nil"/>
          <w:right w:val="nil"/>
          <w:between w:val="nil"/>
        </w:pBdr>
        <w:spacing w:line="360" w:lineRule="auto"/>
        <w:jc w:val="both"/>
        <w:rPr>
          <w:rFonts w:ascii="Times New Roman" w:hAnsi="Times New Roman" w:cs="Times New Roman"/>
          <w:color w:val="auto"/>
        </w:rPr>
      </w:pPr>
    </w:p>
    <w:p w14:paraId="763DFB86" w14:textId="3C6DC4E1" w:rsidR="00DF6A4A" w:rsidRPr="00581281" w:rsidRDefault="00DF6A4A" w:rsidP="00C53D01">
      <w:pPr>
        <w:pStyle w:val="Heading1"/>
        <w:numPr>
          <w:ilvl w:val="0"/>
          <w:numId w:val="16"/>
        </w:numPr>
        <w:spacing w:line="360" w:lineRule="auto"/>
        <w:rPr>
          <w:rFonts w:ascii="Times New Roman" w:hAnsi="Times New Roman" w:cs="Times New Roman"/>
          <w:b/>
          <w:color w:val="auto"/>
          <w:sz w:val="24"/>
          <w:szCs w:val="24"/>
        </w:rPr>
      </w:pPr>
      <w:r w:rsidRPr="00581281">
        <w:rPr>
          <w:rFonts w:ascii="Times New Roman" w:hAnsi="Times New Roman" w:cs="Times New Roman"/>
          <w:b/>
          <w:color w:val="auto"/>
          <w:sz w:val="24"/>
          <w:szCs w:val="24"/>
        </w:rPr>
        <w:lastRenderedPageBreak/>
        <w:t>Referências Bibliográficas</w:t>
      </w:r>
      <w:bookmarkEnd w:id="15"/>
    </w:p>
    <w:p w14:paraId="6C77DED4" w14:textId="77777777" w:rsidR="006A4310" w:rsidRPr="00581281" w:rsidRDefault="006A4310" w:rsidP="00C53D01">
      <w:pPr>
        <w:pBdr>
          <w:top w:val="nil"/>
          <w:left w:val="nil"/>
          <w:bottom w:val="nil"/>
          <w:right w:val="nil"/>
          <w:between w:val="nil"/>
        </w:pBdr>
        <w:spacing w:line="276" w:lineRule="auto"/>
        <w:jc w:val="both"/>
        <w:rPr>
          <w:rFonts w:ascii="Times New Roman" w:hAnsi="Times New Roman" w:cs="Times New Roman"/>
          <w:color w:val="auto"/>
          <w:lang w:val="en-US"/>
        </w:rPr>
      </w:pPr>
      <w:r w:rsidRPr="00581281">
        <w:rPr>
          <w:rFonts w:ascii="Times New Roman" w:hAnsi="Times New Roman" w:cs="Times New Roman"/>
          <w:color w:val="auto"/>
        </w:rPr>
        <w:t xml:space="preserve">Banco Mundial. (2021). Relatório sobre a economia de Moçambique e os desafios fiscais durante a pandemia de COVID-19. </w:t>
      </w:r>
      <w:r w:rsidRPr="00581281">
        <w:rPr>
          <w:rFonts w:ascii="Times New Roman" w:hAnsi="Times New Roman" w:cs="Times New Roman"/>
          <w:color w:val="auto"/>
          <w:lang w:val="en-US"/>
        </w:rPr>
        <w:t>Banco Mundial.</w:t>
      </w:r>
    </w:p>
    <w:p w14:paraId="4DAC594F" w14:textId="77777777" w:rsidR="006A4310" w:rsidRPr="00581281" w:rsidRDefault="006A4310" w:rsidP="00C53D01">
      <w:pPr>
        <w:pBdr>
          <w:top w:val="nil"/>
          <w:left w:val="nil"/>
          <w:bottom w:val="nil"/>
          <w:right w:val="nil"/>
          <w:between w:val="nil"/>
        </w:pBdr>
        <w:spacing w:line="276" w:lineRule="auto"/>
        <w:jc w:val="both"/>
        <w:rPr>
          <w:rFonts w:ascii="Times New Roman" w:hAnsi="Times New Roman" w:cs="Times New Roman"/>
          <w:color w:val="auto"/>
          <w:lang w:val="en-US"/>
        </w:rPr>
      </w:pPr>
      <w:r w:rsidRPr="00581281">
        <w:rPr>
          <w:rFonts w:ascii="Times New Roman" w:hAnsi="Times New Roman" w:cs="Times New Roman"/>
          <w:color w:val="auto"/>
          <w:lang w:val="en-US"/>
        </w:rPr>
        <w:t xml:space="preserve">Becker, G. S. (1962). Investment in human capital: A theoretical analysis. </w:t>
      </w:r>
      <w:r w:rsidRPr="00581281">
        <w:rPr>
          <w:rFonts w:ascii="Times New Roman" w:hAnsi="Times New Roman" w:cs="Times New Roman"/>
          <w:i/>
          <w:iCs/>
          <w:color w:val="auto"/>
          <w:lang w:val="en-US"/>
        </w:rPr>
        <w:t>Journal of Political Economy, 70</w:t>
      </w:r>
      <w:r w:rsidRPr="00581281">
        <w:rPr>
          <w:rFonts w:ascii="Times New Roman" w:hAnsi="Times New Roman" w:cs="Times New Roman"/>
          <w:color w:val="auto"/>
          <w:lang w:val="en-US"/>
        </w:rPr>
        <w:t>(5), 9-49.</w:t>
      </w:r>
    </w:p>
    <w:p w14:paraId="67EB13EC" w14:textId="77777777" w:rsidR="006A4310" w:rsidRPr="00581281" w:rsidRDefault="006A4310" w:rsidP="00C53D01">
      <w:pPr>
        <w:pBdr>
          <w:top w:val="nil"/>
          <w:left w:val="nil"/>
          <w:bottom w:val="nil"/>
          <w:right w:val="nil"/>
          <w:between w:val="nil"/>
        </w:pBdr>
        <w:spacing w:line="276" w:lineRule="auto"/>
        <w:jc w:val="both"/>
        <w:rPr>
          <w:rFonts w:ascii="Times New Roman" w:hAnsi="Times New Roman" w:cs="Times New Roman"/>
          <w:lang w:val="en-US"/>
        </w:rPr>
      </w:pPr>
      <w:r w:rsidRPr="00581281">
        <w:rPr>
          <w:rFonts w:ascii="Times New Roman" w:hAnsi="Times New Roman" w:cs="Times New Roman"/>
          <w:color w:val="auto"/>
          <w:lang w:val="en-US"/>
        </w:rPr>
        <w:t xml:space="preserve">Black, M. M., Walker, S. P., Fernald, L. C., Andersen, C. T., DiGirolamo, A. M., Lu, C., ... &amp; Grantham-McGregor, S. (2017). Early childhood development coming of age: Science through the life course. </w:t>
      </w:r>
      <w:r w:rsidRPr="00581281">
        <w:rPr>
          <w:rFonts w:ascii="Times New Roman" w:hAnsi="Times New Roman" w:cs="Times New Roman"/>
          <w:i/>
          <w:iCs/>
          <w:color w:val="auto"/>
          <w:lang w:val="en-US"/>
        </w:rPr>
        <w:t>The Lancet,</w:t>
      </w:r>
      <w:r w:rsidRPr="00581281">
        <w:rPr>
          <w:rFonts w:ascii="Times New Roman" w:hAnsi="Times New Roman" w:cs="Times New Roman"/>
          <w:color w:val="auto"/>
          <w:lang w:val="en-US"/>
        </w:rPr>
        <w:t xml:space="preserve"> 389(10064), 77-90. </w:t>
      </w:r>
      <w:hyperlink r:id="rId20" w:history="1">
        <w:r w:rsidRPr="00581281">
          <w:rPr>
            <w:rStyle w:val="Hyperlink"/>
            <w:rFonts w:ascii="Times New Roman" w:hAnsi="Times New Roman" w:cs="Times New Roman"/>
            <w:lang w:val="en-US"/>
          </w:rPr>
          <w:t>https://doi.org/10.1016/S0140-6736(16)31389-7</w:t>
        </w:r>
      </w:hyperlink>
    </w:p>
    <w:p w14:paraId="406837F9" w14:textId="77777777" w:rsidR="006A4310" w:rsidRPr="00581281" w:rsidRDefault="006A4310" w:rsidP="00C53D01">
      <w:pPr>
        <w:pBdr>
          <w:top w:val="nil"/>
          <w:left w:val="nil"/>
          <w:bottom w:val="nil"/>
          <w:right w:val="nil"/>
          <w:between w:val="nil"/>
        </w:pBdr>
        <w:spacing w:line="276" w:lineRule="auto"/>
        <w:jc w:val="both"/>
        <w:rPr>
          <w:rFonts w:ascii="Times New Roman" w:hAnsi="Times New Roman" w:cs="Times New Roman"/>
          <w:color w:val="auto"/>
          <w:lang w:val="en-US"/>
        </w:rPr>
      </w:pPr>
      <w:r w:rsidRPr="00581281">
        <w:rPr>
          <w:rFonts w:ascii="Times New Roman" w:hAnsi="Times New Roman" w:cs="Times New Roman"/>
          <w:color w:val="auto"/>
          <w:lang w:val="en-US"/>
        </w:rPr>
        <w:t>Canning, D., Raja, S., &amp; Yazbeck, A. S. (2015). Africa's demographic transition: Dividend or disaster?. The World Bank.</w:t>
      </w:r>
    </w:p>
    <w:p w14:paraId="7938333B" w14:textId="77777777" w:rsidR="006A4310" w:rsidRPr="00581281" w:rsidRDefault="006A4310" w:rsidP="00C53D01">
      <w:pPr>
        <w:pBdr>
          <w:top w:val="nil"/>
          <w:left w:val="nil"/>
          <w:bottom w:val="nil"/>
          <w:right w:val="nil"/>
          <w:between w:val="nil"/>
        </w:pBdr>
        <w:spacing w:line="276" w:lineRule="auto"/>
        <w:jc w:val="both"/>
        <w:rPr>
          <w:rFonts w:ascii="Times New Roman" w:hAnsi="Times New Roman" w:cs="Times New Roman"/>
          <w:lang w:val="en-US"/>
        </w:rPr>
      </w:pPr>
      <w:r w:rsidRPr="00581281">
        <w:rPr>
          <w:rFonts w:ascii="Times New Roman" w:hAnsi="Times New Roman" w:cs="Times New Roman"/>
          <w:color w:val="auto"/>
          <w:lang w:val="en-US"/>
        </w:rPr>
        <w:t xml:space="preserve">Engle, P. L., Fernald, L. C. H., Alderman, H., Behrman, J., O’Gara, C., Yousafzai, A., ... &amp; Global Child Development Steering Group. (2011). Strategies for reducing inequalities and improving developmental outcomes for young children in low-income and middle-income countries. </w:t>
      </w:r>
      <w:r w:rsidRPr="00581281">
        <w:rPr>
          <w:rFonts w:ascii="Times New Roman" w:hAnsi="Times New Roman" w:cs="Times New Roman"/>
          <w:i/>
          <w:iCs/>
          <w:color w:val="auto"/>
          <w:lang w:val="en-US"/>
        </w:rPr>
        <w:t>The Lancet,</w:t>
      </w:r>
      <w:r w:rsidRPr="00581281">
        <w:rPr>
          <w:rFonts w:ascii="Times New Roman" w:hAnsi="Times New Roman" w:cs="Times New Roman"/>
          <w:color w:val="auto"/>
          <w:lang w:val="en-US"/>
        </w:rPr>
        <w:t xml:space="preserve"> 378(9799), 1339-1353. </w:t>
      </w:r>
      <w:hyperlink r:id="rId21" w:history="1">
        <w:r w:rsidRPr="00581281">
          <w:rPr>
            <w:rStyle w:val="Hyperlink"/>
            <w:rFonts w:ascii="Times New Roman" w:hAnsi="Times New Roman" w:cs="Times New Roman"/>
            <w:lang w:val="en-US"/>
          </w:rPr>
          <w:t>https://doi.org/10.1016/S0140-6736(11)60889-1</w:t>
        </w:r>
      </w:hyperlink>
    </w:p>
    <w:p w14:paraId="7C124E39" w14:textId="77777777" w:rsidR="006A4310" w:rsidRPr="00581281" w:rsidRDefault="006A4310" w:rsidP="00C53D01">
      <w:pPr>
        <w:pBdr>
          <w:top w:val="nil"/>
          <w:left w:val="nil"/>
          <w:bottom w:val="nil"/>
          <w:right w:val="nil"/>
          <w:between w:val="nil"/>
        </w:pBdr>
        <w:spacing w:line="276" w:lineRule="auto"/>
        <w:jc w:val="both"/>
        <w:rPr>
          <w:rFonts w:ascii="Times New Roman" w:hAnsi="Times New Roman" w:cs="Times New Roman"/>
          <w:color w:val="auto"/>
        </w:rPr>
      </w:pPr>
      <w:r w:rsidRPr="00581281">
        <w:rPr>
          <w:rFonts w:ascii="Times New Roman" w:hAnsi="Times New Roman" w:cs="Times New Roman"/>
          <w:color w:val="auto"/>
          <w:lang w:val="en-US"/>
        </w:rPr>
        <w:t xml:space="preserve">Heckman, J. J. (2008). Schools, skills, and synapses. </w:t>
      </w:r>
      <w:r w:rsidRPr="00581281">
        <w:rPr>
          <w:rFonts w:ascii="Times New Roman" w:hAnsi="Times New Roman" w:cs="Times New Roman"/>
          <w:i/>
          <w:iCs/>
          <w:color w:val="auto"/>
        </w:rPr>
        <w:t>Economic Inquiry</w:t>
      </w:r>
      <w:r w:rsidRPr="00581281">
        <w:rPr>
          <w:rFonts w:ascii="Times New Roman" w:hAnsi="Times New Roman" w:cs="Times New Roman"/>
          <w:color w:val="auto"/>
        </w:rPr>
        <w:t>, 46(3), 289-324.</w:t>
      </w:r>
    </w:p>
    <w:p w14:paraId="654FE135" w14:textId="77777777" w:rsidR="006A4310" w:rsidRPr="006A4310" w:rsidRDefault="006A4310" w:rsidP="006A4310">
      <w:pPr>
        <w:pBdr>
          <w:top w:val="nil"/>
          <w:left w:val="nil"/>
          <w:bottom w:val="nil"/>
          <w:right w:val="nil"/>
          <w:between w:val="nil"/>
        </w:pBdr>
        <w:spacing w:line="276" w:lineRule="auto"/>
        <w:jc w:val="both"/>
        <w:rPr>
          <w:rFonts w:ascii="Times New Roman" w:hAnsi="Times New Roman" w:cs="Times New Roman"/>
          <w:color w:val="auto"/>
        </w:rPr>
      </w:pPr>
      <w:r>
        <w:rPr>
          <w:rFonts w:ascii="Times New Roman" w:hAnsi="Times New Roman" w:cs="Times New Roman"/>
          <w:color w:val="auto"/>
        </w:rPr>
        <w:t>I</w:t>
      </w:r>
      <w:r w:rsidRPr="006A4310">
        <w:rPr>
          <w:rFonts w:ascii="Times New Roman" w:hAnsi="Times New Roman" w:cs="Times New Roman"/>
          <w:color w:val="auto"/>
        </w:rPr>
        <w:t>nstituto Nacional de Estatística (INE) &amp; ICF. (2024). Inquérito Demográfico e de Saúde em Moçambique 2022–23. INE, Ministério da Saúde, Instituto Nacional de Saúde e ICF. The DHS Program.</w:t>
      </w:r>
    </w:p>
    <w:p w14:paraId="447F9BE0" w14:textId="77777777" w:rsidR="006A4310" w:rsidRPr="00581281" w:rsidRDefault="006A4310" w:rsidP="00C53D01">
      <w:pPr>
        <w:pBdr>
          <w:top w:val="nil"/>
          <w:left w:val="nil"/>
          <w:bottom w:val="nil"/>
          <w:right w:val="nil"/>
          <w:between w:val="nil"/>
        </w:pBdr>
        <w:spacing w:line="276" w:lineRule="auto"/>
        <w:jc w:val="both"/>
        <w:rPr>
          <w:rFonts w:ascii="Times New Roman" w:hAnsi="Times New Roman" w:cs="Times New Roman"/>
          <w:color w:val="auto"/>
        </w:rPr>
      </w:pPr>
      <w:r w:rsidRPr="00581281">
        <w:rPr>
          <w:rFonts w:ascii="Times New Roman" w:hAnsi="Times New Roman" w:cs="Times New Roman"/>
          <w:color w:val="auto"/>
        </w:rPr>
        <w:t>Instituto Nacional de Estatística. (2017). Censo demográfico de 2017: Resultados preliminares. Maputo: Instituto Nacional de Estatística.</w:t>
      </w:r>
    </w:p>
    <w:p w14:paraId="6E8BB03F" w14:textId="77777777" w:rsidR="006A4310" w:rsidRPr="00581281" w:rsidRDefault="006A4310" w:rsidP="00C53D01">
      <w:pPr>
        <w:pBdr>
          <w:top w:val="nil"/>
          <w:left w:val="nil"/>
          <w:bottom w:val="nil"/>
          <w:right w:val="nil"/>
          <w:between w:val="nil"/>
        </w:pBdr>
        <w:spacing w:line="276" w:lineRule="auto"/>
        <w:jc w:val="both"/>
        <w:rPr>
          <w:rFonts w:ascii="Times New Roman" w:hAnsi="Times New Roman" w:cs="Times New Roman"/>
          <w:color w:val="auto"/>
        </w:rPr>
      </w:pPr>
      <w:r w:rsidRPr="00581281">
        <w:rPr>
          <w:rFonts w:ascii="Times New Roman" w:hAnsi="Times New Roman" w:cs="Times New Roman"/>
          <w:color w:val="auto"/>
        </w:rPr>
        <w:t>Instituto Nacional de Estatística. (2019). Inquérito Demográfico e de Saúde de Moçambique 2018. Maputo: Instituto Nacional de Estatística.</w:t>
      </w:r>
    </w:p>
    <w:p w14:paraId="7FF552D9" w14:textId="77777777" w:rsidR="006A4310" w:rsidRPr="00581281" w:rsidRDefault="006A4310" w:rsidP="00C53D01">
      <w:pPr>
        <w:pBdr>
          <w:top w:val="nil"/>
          <w:left w:val="nil"/>
          <w:bottom w:val="nil"/>
          <w:right w:val="nil"/>
          <w:between w:val="nil"/>
        </w:pBdr>
        <w:spacing w:line="276" w:lineRule="auto"/>
        <w:jc w:val="both"/>
        <w:rPr>
          <w:rFonts w:ascii="Times New Roman" w:hAnsi="Times New Roman" w:cs="Times New Roman"/>
          <w:color w:val="auto"/>
          <w:lang w:val="en-US"/>
        </w:rPr>
      </w:pPr>
      <w:r w:rsidRPr="00581281">
        <w:rPr>
          <w:rFonts w:ascii="Times New Roman" w:hAnsi="Times New Roman" w:cs="Times New Roman"/>
          <w:color w:val="auto"/>
        </w:rPr>
        <w:t xml:space="preserve">Ministério da Saúde de Moçambique. (2022). Plano Estratégico do Sector da Saúde 2022-2027. </w:t>
      </w:r>
      <w:r w:rsidRPr="00581281">
        <w:rPr>
          <w:rFonts w:ascii="Times New Roman" w:hAnsi="Times New Roman" w:cs="Times New Roman"/>
          <w:color w:val="auto"/>
          <w:lang w:val="en-US"/>
        </w:rPr>
        <w:t>Ministério da Saúde.</w:t>
      </w:r>
    </w:p>
    <w:p w14:paraId="017859AE" w14:textId="77777777" w:rsidR="006A4310" w:rsidRPr="00581281" w:rsidRDefault="006A4310" w:rsidP="00C53D01">
      <w:pPr>
        <w:pBdr>
          <w:top w:val="nil"/>
          <w:left w:val="nil"/>
          <w:bottom w:val="nil"/>
          <w:right w:val="nil"/>
          <w:between w:val="nil"/>
        </w:pBdr>
        <w:spacing w:line="276" w:lineRule="auto"/>
        <w:jc w:val="both"/>
        <w:rPr>
          <w:rFonts w:ascii="Times New Roman" w:hAnsi="Times New Roman" w:cs="Times New Roman"/>
          <w:color w:val="auto"/>
          <w:lang w:val="en-US"/>
        </w:rPr>
      </w:pPr>
      <w:r w:rsidRPr="00581281">
        <w:rPr>
          <w:rFonts w:ascii="Times New Roman" w:hAnsi="Times New Roman" w:cs="Times New Roman"/>
          <w:color w:val="auto"/>
          <w:lang w:val="en-US"/>
        </w:rPr>
        <w:t>Shonkoff, J. P., &amp; Phillips, D. A. (2000). From neurons to neighborhoods: The science of early childhood development. National Academy Press.</w:t>
      </w:r>
    </w:p>
    <w:p w14:paraId="01150BA8" w14:textId="77777777" w:rsidR="006A4310" w:rsidRPr="00581281" w:rsidRDefault="006A4310" w:rsidP="00C53D01">
      <w:pPr>
        <w:pBdr>
          <w:top w:val="nil"/>
          <w:left w:val="nil"/>
          <w:bottom w:val="nil"/>
          <w:right w:val="nil"/>
          <w:between w:val="nil"/>
        </w:pBdr>
        <w:spacing w:line="276" w:lineRule="auto"/>
        <w:jc w:val="both"/>
        <w:rPr>
          <w:rFonts w:ascii="Times New Roman" w:hAnsi="Times New Roman" w:cs="Times New Roman"/>
          <w:color w:val="auto"/>
          <w:lang w:val="en-US"/>
        </w:rPr>
      </w:pPr>
      <w:r w:rsidRPr="00581281">
        <w:rPr>
          <w:rFonts w:ascii="Times New Roman" w:hAnsi="Times New Roman" w:cs="Times New Roman"/>
          <w:color w:val="auto"/>
          <w:lang w:val="en-US"/>
        </w:rPr>
        <w:lastRenderedPageBreak/>
        <w:t>United Nations Children's Fund (UNICEF). (2019). The state of the world's children 2019: Children, food and nutrition. UNICEF.</w:t>
      </w:r>
    </w:p>
    <w:p w14:paraId="1F6CDC4A" w14:textId="77777777" w:rsidR="006A4310" w:rsidRPr="00DC11B2" w:rsidRDefault="006A4310" w:rsidP="00C53D01">
      <w:pPr>
        <w:pBdr>
          <w:top w:val="nil"/>
          <w:left w:val="nil"/>
          <w:bottom w:val="nil"/>
          <w:right w:val="nil"/>
          <w:between w:val="nil"/>
        </w:pBdr>
        <w:spacing w:line="276" w:lineRule="auto"/>
        <w:jc w:val="both"/>
        <w:rPr>
          <w:rFonts w:ascii="Times New Roman" w:hAnsi="Times New Roman" w:cs="Times New Roman"/>
          <w:color w:val="auto"/>
          <w:lang w:val="en-US"/>
        </w:rPr>
      </w:pPr>
      <w:r w:rsidRPr="00581281">
        <w:rPr>
          <w:rFonts w:ascii="Times New Roman" w:hAnsi="Times New Roman" w:cs="Times New Roman"/>
          <w:color w:val="auto"/>
          <w:lang w:val="en-US"/>
        </w:rPr>
        <w:t xml:space="preserve">United Nations Children's Fund (UNICEF). (2020). </w:t>
      </w:r>
      <w:r w:rsidRPr="00581281">
        <w:rPr>
          <w:rFonts w:ascii="Times New Roman" w:hAnsi="Times New Roman" w:cs="Times New Roman"/>
          <w:color w:val="auto"/>
        </w:rPr>
        <w:t xml:space="preserve">Situação das crianças em Moçambique 2020. </w:t>
      </w:r>
      <w:r w:rsidRPr="00DC11B2">
        <w:rPr>
          <w:rFonts w:ascii="Times New Roman" w:hAnsi="Times New Roman" w:cs="Times New Roman"/>
          <w:color w:val="auto"/>
          <w:lang w:val="en-US"/>
        </w:rPr>
        <w:t>UNICEF.</w:t>
      </w:r>
    </w:p>
    <w:p w14:paraId="2E4BC0F6" w14:textId="77777777" w:rsidR="006A4310" w:rsidRPr="00DC11B2" w:rsidRDefault="006A4310" w:rsidP="006A4310">
      <w:pPr>
        <w:pBdr>
          <w:top w:val="nil"/>
          <w:left w:val="nil"/>
          <w:bottom w:val="nil"/>
          <w:right w:val="nil"/>
          <w:between w:val="nil"/>
        </w:pBdr>
        <w:spacing w:line="276" w:lineRule="auto"/>
        <w:jc w:val="both"/>
        <w:rPr>
          <w:rFonts w:ascii="Times New Roman" w:hAnsi="Times New Roman" w:cs="Times New Roman"/>
          <w:color w:val="auto"/>
          <w:lang w:val="en-US"/>
        </w:rPr>
      </w:pPr>
      <w:r w:rsidRPr="00DC11B2">
        <w:rPr>
          <w:rFonts w:ascii="Times New Roman" w:hAnsi="Times New Roman" w:cs="Times New Roman"/>
          <w:color w:val="auto"/>
          <w:lang w:val="en-US"/>
        </w:rPr>
        <w:t>United Nations Children's Fund (UNICEF). (2021). Relatório sobre a saúde infantil em Moçambique 2020-2021. UNICEF.</w:t>
      </w:r>
    </w:p>
    <w:p w14:paraId="2B365FCB" w14:textId="77777777" w:rsidR="006A4310" w:rsidRPr="00581281" w:rsidRDefault="006A4310" w:rsidP="006A4310">
      <w:pPr>
        <w:pBdr>
          <w:top w:val="nil"/>
          <w:left w:val="nil"/>
          <w:bottom w:val="nil"/>
          <w:right w:val="nil"/>
          <w:between w:val="nil"/>
        </w:pBdr>
        <w:spacing w:line="276" w:lineRule="auto"/>
        <w:jc w:val="both"/>
        <w:rPr>
          <w:rFonts w:ascii="Times New Roman" w:hAnsi="Times New Roman" w:cs="Times New Roman"/>
          <w:color w:val="auto"/>
        </w:rPr>
      </w:pPr>
      <w:r w:rsidRPr="00DC11B2">
        <w:rPr>
          <w:rFonts w:ascii="Times New Roman" w:hAnsi="Times New Roman" w:cs="Times New Roman"/>
          <w:color w:val="auto"/>
          <w:lang w:val="en-US"/>
        </w:rPr>
        <w:t xml:space="preserve">United Nations Children's Fund (UNICEF). </w:t>
      </w:r>
      <w:r w:rsidRPr="00581281">
        <w:rPr>
          <w:rFonts w:ascii="Times New Roman" w:hAnsi="Times New Roman" w:cs="Times New Roman"/>
          <w:color w:val="auto"/>
        </w:rPr>
        <w:t>(2022). Relatório sobre a Situação das Crianças em Moçambique 2021. UNICEF.</w:t>
      </w:r>
    </w:p>
    <w:p w14:paraId="6005B657" w14:textId="77777777" w:rsidR="006A4310" w:rsidRPr="00581281" w:rsidRDefault="006A4310" w:rsidP="006A4310">
      <w:pPr>
        <w:pBdr>
          <w:top w:val="nil"/>
          <w:left w:val="nil"/>
          <w:bottom w:val="nil"/>
          <w:right w:val="nil"/>
          <w:between w:val="nil"/>
        </w:pBdr>
        <w:spacing w:line="276" w:lineRule="auto"/>
        <w:jc w:val="both"/>
        <w:rPr>
          <w:rFonts w:ascii="Times New Roman" w:hAnsi="Times New Roman" w:cs="Times New Roman"/>
          <w:color w:val="auto"/>
        </w:rPr>
      </w:pPr>
      <w:r w:rsidRPr="00F340AF">
        <w:rPr>
          <w:rFonts w:ascii="Times New Roman" w:hAnsi="Times New Roman" w:cs="Times New Roman"/>
          <w:color w:val="auto"/>
        </w:rPr>
        <w:t xml:space="preserve">United Nations Children's Fund (UNICEF). </w:t>
      </w:r>
      <w:r w:rsidRPr="00581281">
        <w:rPr>
          <w:rFonts w:ascii="Times New Roman" w:hAnsi="Times New Roman" w:cs="Times New Roman"/>
          <w:color w:val="auto"/>
        </w:rPr>
        <w:t>(2023). Relatório de atividades de nutrição infantil em Moçambique. UNICEF.</w:t>
      </w:r>
    </w:p>
    <w:p w14:paraId="563103A7" w14:textId="77777777" w:rsidR="006A4310" w:rsidRPr="00581281" w:rsidRDefault="006A4310" w:rsidP="006A4310">
      <w:pPr>
        <w:pBdr>
          <w:top w:val="nil"/>
          <w:left w:val="nil"/>
          <w:bottom w:val="nil"/>
          <w:right w:val="nil"/>
          <w:between w:val="nil"/>
        </w:pBdr>
        <w:spacing w:line="276" w:lineRule="auto"/>
        <w:jc w:val="both"/>
        <w:rPr>
          <w:rFonts w:ascii="Times New Roman" w:hAnsi="Times New Roman" w:cs="Times New Roman"/>
          <w:color w:val="auto"/>
          <w:lang w:val="en-US"/>
        </w:rPr>
      </w:pPr>
      <w:r w:rsidRPr="00F340AF">
        <w:rPr>
          <w:rFonts w:ascii="Times New Roman" w:hAnsi="Times New Roman" w:cs="Times New Roman"/>
          <w:color w:val="auto"/>
        </w:rPr>
        <w:t xml:space="preserve">United Nations Population Fund (UNFPA). </w:t>
      </w:r>
      <w:r w:rsidRPr="00581281">
        <w:rPr>
          <w:rFonts w:ascii="Times New Roman" w:hAnsi="Times New Roman" w:cs="Times New Roman"/>
          <w:color w:val="auto"/>
        </w:rPr>
        <w:t xml:space="preserve">(2021). Relatório sobre o registro de nascimentos e desafios de acesso em Moçambique. </w:t>
      </w:r>
      <w:r w:rsidRPr="00581281">
        <w:rPr>
          <w:rFonts w:ascii="Times New Roman" w:hAnsi="Times New Roman" w:cs="Times New Roman"/>
          <w:color w:val="auto"/>
          <w:lang w:val="en-US"/>
        </w:rPr>
        <w:t>UNFPA.</w:t>
      </w:r>
    </w:p>
    <w:p w14:paraId="3166104F" w14:textId="77777777" w:rsidR="006A4310" w:rsidRDefault="006A4310" w:rsidP="006A4310">
      <w:pPr>
        <w:pBdr>
          <w:top w:val="nil"/>
          <w:left w:val="nil"/>
          <w:bottom w:val="nil"/>
          <w:right w:val="nil"/>
          <w:between w:val="nil"/>
        </w:pBdr>
        <w:spacing w:line="276" w:lineRule="auto"/>
        <w:jc w:val="both"/>
        <w:rPr>
          <w:rFonts w:ascii="Times New Roman" w:hAnsi="Times New Roman" w:cs="Times New Roman"/>
          <w:color w:val="auto"/>
          <w:lang w:val="en-US"/>
        </w:rPr>
      </w:pPr>
      <w:r w:rsidRPr="00581281">
        <w:rPr>
          <w:rFonts w:ascii="Times New Roman" w:hAnsi="Times New Roman" w:cs="Times New Roman"/>
          <w:color w:val="auto"/>
          <w:lang w:val="en-US"/>
        </w:rPr>
        <w:t>World Health Organization (WHO). (2020). Guidelines on physical activity, sedentary behaviour and sleep for children under 5 years of age. WHO.</w:t>
      </w:r>
    </w:p>
    <w:sectPr w:rsidR="006A4310" w:rsidSect="002E57EA">
      <w:headerReference w:type="default" r:id="rId22"/>
      <w:footerReference w:type="default" r:id="rId23"/>
      <w:headerReference w:type="first" r:id="rId24"/>
      <w:footerReference w:type="first" r:id="rId25"/>
      <w:pgSz w:w="12240" w:h="15840"/>
      <w:pgMar w:top="1440" w:right="1440" w:bottom="1440" w:left="1440" w:header="720" w:footer="720" w:gutter="0"/>
      <w:pgNumType w:start="1"/>
      <w:cols w:space="720"/>
      <w:titlePg/>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5C9E6731" w16cex:dateUtc="2024-10-14T12:17:00Z"/>
  <w16cex:commentExtensible w16cex:durableId="4B23906F" w16cex:dateUtc="2024-09-26T07:06:00Z"/>
  <w16cex:commentExtensible w16cex:durableId="5858193A" w16cex:dateUtc="2024-09-26T07:08:00Z"/>
  <w16cex:commentExtensible w16cex:durableId="36DE1522" w16cex:dateUtc="2024-10-02T14:50:00Z"/>
  <w16cex:commentExtensible w16cex:durableId="7B54885D" w16cex:dateUtc="2024-09-26T07:21:00Z"/>
  <w16cex:commentExtensible w16cex:durableId="46C66CA1" w16cex:dateUtc="2024-09-26T07:22:00Z"/>
  <w16cex:commentExtensible w16cex:durableId="4D46312D" w16cex:dateUtc="2024-09-26T07:21:00Z"/>
  <w16cex:commentExtensible w16cex:durableId="3B8E1998" w16cex:dateUtc="2024-09-26T07:29:00Z"/>
  <w16cex:commentExtensible w16cex:durableId="6C07BF6A" w16cex:dateUtc="2024-10-14T11:51:00Z"/>
  <w16cex:commentExtensible w16cex:durableId="0A043AD7" w16cex:dateUtc="2024-10-14T12:19:00Z"/>
  <w16cex:commentExtensible w16cex:durableId="65232DCA" w16cex:dateUtc="2024-10-14T11:52:00Z"/>
  <w16cex:commentExtensible w16cex:durableId="28491092" w16cex:dateUtc="2024-10-11T09:54:00Z"/>
  <w16cex:commentExtensible w16cex:durableId="7CBD2022" w16cex:dateUtc="2024-10-11T09:40:00Z"/>
  <w16cex:commentExtensible w16cex:durableId="0DB6E07B" w16cex:dateUtc="2024-10-11T09:34:00Z"/>
  <w16cex:commentExtensible w16cex:durableId="22422113" w16cex:dateUtc="2024-10-11T09:48:00Z"/>
  <w16cex:commentExtensible w16cex:durableId="48D539E9" w16cex:dateUtc="2024-10-11T09:43:00Z"/>
  <w16cex:commentExtensible w16cex:durableId="0C4D97CB" w16cex:dateUtc="2024-10-11T09:45:00Z"/>
  <w16cex:commentExtensible w16cex:durableId="1B138441" w16cex:dateUtc="2024-10-14T12:06:00Z"/>
  <w16cex:commentExtensible w16cex:durableId="7CFE18A9" w16cex:dateUtc="2024-10-11T10:04:00Z"/>
  <w16cex:commentExtensible w16cex:durableId="0F41B249" w16cex:dateUtc="2024-10-11T10:05:00Z"/>
  <w16cex:commentExtensible w16cex:durableId="7E181B58" w16cex:dateUtc="2024-10-11T10:01:00Z"/>
  <w16cex:commentExtensible w16cex:durableId="55094715" w16cex:dateUtc="2024-09-26T08:02:00Z"/>
  <w16cex:commentExtensible w16cex:durableId="05215306" w16cex:dateUtc="2024-10-14T12:07:00Z"/>
  <w16cex:commentExtensible w16cex:durableId="39AF5004" w16cex:dateUtc="2024-10-14T12:08:00Z"/>
  <w16cex:commentExtensible w16cex:durableId="6FD5AED0" w16cex:dateUtc="2024-10-14T12:0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07BBDAE0" w16cid:durableId="5C9E6731"/>
  <w16cid:commentId w16cid:paraId="0956679C" w16cid:durableId="4B23906F"/>
  <w16cid:commentId w16cid:paraId="567203FE" w16cid:durableId="5858193A"/>
  <w16cid:commentId w16cid:paraId="5B869B36" w16cid:durableId="36DE1522"/>
  <w16cid:commentId w16cid:paraId="1ED721B3" w16cid:durableId="7B54885D"/>
  <w16cid:commentId w16cid:paraId="7870C301" w16cid:durableId="46C66CA1"/>
  <w16cid:commentId w16cid:paraId="30BD654C" w16cid:durableId="4D46312D"/>
  <w16cid:commentId w16cid:paraId="612495BE" w16cid:durableId="3B8E1998"/>
  <w16cid:commentId w16cid:paraId="03B003B8" w16cid:durableId="6C07BF6A"/>
  <w16cid:commentId w16cid:paraId="71C8EE0D" w16cid:durableId="0A043AD7"/>
  <w16cid:commentId w16cid:paraId="0C626768" w16cid:durableId="65232DCA"/>
  <w16cid:commentId w16cid:paraId="216D6424" w16cid:durableId="28491092"/>
  <w16cid:commentId w16cid:paraId="45A115CF" w16cid:durableId="7CBD2022"/>
  <w16cid:commentId w16cid:paraId="042B8F20" w16cid:durableId="0DB6E07B"/>
  <w16cid:commentId w16cid:paraId="2BE99B89" w16cid:durableId="22422113"/>
  <w16cid:commentId w16cid:paraId="78E68009" w16cid:durableId="48D539E9"/>
  <w16cid:commentId w16cid:paraId="2F637285" w16cid:durableId="0C4D97CB"/>
  <w16cid:commentId w16cid:paraId="26350497" w16cid:durableId="1B138441"/>
  <w16cid:commentId w16cid:paraId="5D1E4B46" w16cid:durableId="7CFE18A9"/>
  <w16cid:commentId w16cid:paraId="3A6717D9" w16cid:durableId="0F41B249"/>
  <w16cid:commentId w16cid:paraId="192E2BD3" w16cid:durableId="7E181B58"/>
  <w16cid:commentId w16cid:paraId="27431F3C" w16cid:durableId="55094715"/>
  <w16cid:commentId w16cid:paraId="2BC932A1" w16cid:durableId="05215306"/>
  <w16cid:commentId w16cid:paraId="74CCF264" w16cid:durableId="39AF5004"/>
  <w16cid:commentId w16cid:paraId="27E8C67A" w16cid:durableId="6FD5AED0"/>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9EFB374" w14:textId="77777777" w:rsidR="00301E65" w:rsidRDefault="00301E65">
      <w:pPr>
        <w:spacing w:after="0" w:line="240" w:lineRule="auto"/>
      </w:pPr>
      <w:r>
        <w:separator/>
      </w:r>
    </w:p>
  </w:endnote>
  <w:endnote w:type="continuationSeparator" w:id="0">
    <w:p w14:paraId="4FFA6F02" w14:textId="77777777" w:rsidR="00301E65" w:rsidRDefault="00301E6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PSMT"/>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embedRegular r:id="rId1" w:fontKey="{0D6653D7-CF3E-40CA-B597-002F42025CB7}"/>
  </w:font>
  <w:font w:name="Montserrat">
    <w:altName w:val="Times New Roman"/>
    <w:charset w:val="00"/>
    <w:family w:val="auto"/>
    <w:pitch w:val="variable"/>
    <w:sig w:usb0="00000001" w:usb1="00000003" w:usb2="00000000" w:usb3="00000000" w:csb0="00000197" w:csb1="00000000"/>
    <w:embedRegular r:id="rId2" w:fontKey="{2421C983-389A-4149-98BC-736A49B017B8}"/>
    <w:embedBold r:id="rId3" w:fontKey="{CE5838B3-A419-4237-A55A-AD9C159A3314}"/>
    <w:embedItalic r:id="rId4" w:fontKey="{B5CEA351-75A8-47C4-9D10-6ADD854753FF}"/>
    <w:embedBoldItalic r:id="rId5" w:fontKey="{D6030D82-31E2-472D-8C3B-A377003DB021}"/>
  </w:font>
  <w:font w:name="Montserrat Black">
    <w:altName w:val="Times New Roman"/>
    <w:charset w:val="00"/>
    <w:family w:val="auto"/>
    <w:pitch w:val="variable"/>
    <w:sig w:usb0="00000001" w:usb1="00000003" w:usb2="00000000" w:usb3="00000000" w:csb0="00000197" w:csb1="00000000"/>
  </w:font>
  <w:font w:name="Montserrat SemiBold">
    <w:charset w:val="00"/>
    <w:family w:val="auto"/>
    <w:pitch w:val="variable"/>
    <w:sig w:usb0="2000020F" w:usb1="00000003" w:usb2="00000000" w:usb3="00000000" w:csb0="00000197" w:csb1="00000000"/>
    <w:embedRegular r:id="rId6" w:fontKey="{D3A9CC3E-9786-4D9A-AEA7-4FDF871B8776}"/>
  </w:font>
  <w:font w:name="Tahoma">
    <w:panose1 w:val="020B0604030504040204"/>
    <w:charset w:val="00"/>
    <w:family w:val="swiss"/>
    <w:pitch w:val="variable"/>
    <w:sig w:usb0="E1002EFF" w:usb1="C000605B" w:usb2="00000029" w:usb3="00000000" w:csb0="000101FF" w:csb1="00000000"/>
    <w:embedRegular r:id="rId7" w:fontKey="{8C90B16B-ADBA-4B13-885F-0FFF3CCCDE7A}"/>
    <w:embedBold r:id="rId8" w:fontKey="{ED86CBED-6F64-4BA7-83B8-9B6A7DE7D767}"/>
  </w:font>
  <w:font w:name="Calibri">
    <w:panose1 w:val="020F0502020204030204"/>
    <w:charset w:val="00"/>
    <w:family w:val="swiss"/>
    <w:pitch w:val="variable"/>
    <w:sig w:usb0="E4002EFF" w:usb1="C200247B" w:usb2="00000009" w:usb3="00000000" w:csb0="000001FF" w:csb1="00000000"/>
    <w:embedRegular r:id="rId9" w:fontKey="{A88B2F0D-A60A-4A13-9282-2035BA8BCAC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embedRegular r:id="rId10" w:fontKey="{FD7B9441-8AEB-4CA3-BCDE-AF447D3EEE6C}"/>
  </w:font>
  <w:font w:name="Trebuchet MS">
    <w:panose1 w:val="020B0603020202020204"/>
    <w:charset w:val="00"/>
    <w:family w:val="swiss"/>
    <w:pitch w:val="variable"/>
    <w:sig w:usb0="00000687" w:usb1="00000000" w:usb2="00000000" w:usb3="00000000" w:csb0="0000009F" w:csb1="00000000"/>
    <w:embedRegular r:id="rId11" w:fontKey="{25FA2461-AED0-417C-8253-18A14AC93C3C}"/>
  </w:font>
  <w:font w:name="Quattrocento Sans">
    <w:charset w:val="00"/>
    <w:family w:val="swiss"/>
    <w:pitch w:val="variable"/>
    <w:sig w:usb0="800000BF" w:usb1="4000005B" w:usb2="00000000" w:usb3="00000000" w:csb0="00000001" w:csb1="00000000"/>
  </w:font>
  <w:font w:name="MS Mincho">
    <w:altName w:val="MS Gothic"/>
    <w:panose1 w:val="02020609040205080304"/>
    <w:charset w:val="80"/>
    <w:family w:val="roman"/>
    <w:notTrueType/>
    <w:pitch w:val="fixed"/>
    <w:sig w:usb0="00000000" w:usb1="08070000" w:usb2="00000010" w:usb3="00000000" w:csb0="00020000" w:csb1="00000000"/>
  </w:font>
  <w:font w:name="Cambria">
    <w:panose1 w:val="02040503050406030204"/>
    <w:charset w:val="00"/>
    <w:family w:val="roman"/>
    <w:pitch w:val="variable"/>
    <w:sig w:usb0="E00006FF" w:usb1="420024FF" w:usb2="02000000" w:usb3="00000000" w:csb0="0000019F" w:csb1="00000000"/>
    <w:embedRegular r:id="rId12" w:fontKey="{5BBB84BE-6CE1-462A-BF79-7F96EDAD762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96847869"/>
      <w:docPartObj>
        <w:docPartGallery w:val="Page Numbers (Bottom of Page)"/>
        <w:docPartUnique/>
      </w:docPartObj>
    </w:sdtPr>
    <w:sdtEndPr>
      <w:rPr>
        <w:rFonts w:ascii="Times New Roman" w:hAnsi="Times New Roman" w:cs="Times New Roman"/>
      </w:rPr>
    </w:sdtEndPr>
    <w:sdtContent>
      <w:sdt>
        <w:sdtPr>
          <w:id w:val="-1769616900"/>
          <w:docPartObj>
            <w:docPartGallery w:val="Page Numbers (Top of Page)"/>
            <w:docPartUnique/>
          </w:docPartObj>
        </w:sdtPr>
        <w:sdtEndPr>
          <w:rPr>
            <w:rFonts w:ascii="Times New Roman" w:hAnsi="Times New Roman" w:cs="Times New Roman"/>
          </w:rPr>
        </w:sdtEndPr>
        <w:sdtContent>
          <w:p w14:paraId="0E1ECA19" w14:textId="3485820B" w:rsidR="00F340AF" w:rsidRPr="00F340AF" w:rsidRDefault="00F340AF">
            <w:pPr>
              <w:pStyle w:val="Footer"/>
              <w:jc w:val="right"/>
              <w:rPr>
                <w:rFonts w:ascii="Times New Roman" w:hAnsi="Times New Roman" w:cs="Times New Roman"/>
              </w:rPr>
            </w:pPr>
            <w:r w:rsidRPr="00F340AF">
              <w:rPr>
                <w:rFonts w:ascii="Times New Roman" w:hAnsi="Times New Roman" w:cs="Times New Roman"/>
              </w:rPr>
              <w:t xml:space="preserve">Pág. </w:t>
            </w:r>
            <w:r w:rsidRPr="00F340AF">
              <w:rPr>
                <w:rFonts w:ascii="Times New Roman" w:hAnsi="Times New Roman" w:cs="Times New Roman"/>
                <w:b/>
                <w:bCs/>
              </w:rPr>
              <w:fldChar w:fldCharType="begin"/>
            </w:r>
            <w:r w:rsidRPr="00F340AF">
              <w:rPr>
                <w:rFonts w:ascii="Times New Roman" w:hAnsi="Times New Roman" w:cs="Times New Roman"/>
                <w:b/>
                <w:bCs/>
              </w:rPr>
              <w:instrText xml:space="preserve"> PAGE </w:instrText>
            </w:r>
            <w:r w:rsidRPr="00F340AF">
              <w:rPr>
                <w:rFonts w:ascii="Times New Roman" w:hAnsi="Times New Roman" w:cs="Times New Roman"/>
                <w:b/>
                <w:bCs/>
              </w:rPr>
              <w:fldChar w:fldCharType="separate"/>
            </w:r>
            <w:r w:rsidR="00DC11B2">
              <w:rPr>
                <w:rFonts w:ascii="Times New Roman" w:hAnsi="Times New Roman" w:cs="Times New Roman"/>
                <w:b/>
                <w:bCs/>
                <w:noProof/>
              </w:rPr>
              <w:t>2</w:t>
            </w:r>
            <w:r w:rsidRPr="00F340AF">
              <w:rPr>
                <w:rFonts w:ascii="Times New Roman" w:hAnsi="Times New Roman" w:cs="Times New Roman"/>
                <w:b/>
                <w:bCs/>
              </w:rPr>
              <w:fldChar w:fldCharType="end"/>
            </w:r>
            <w:r w:rsidRPr="00F340AF">
              <w:rPr>
                <w:rFonts w:ascii="Times New Roman" w:hAnsi="Times New Roman" w:cs="Times New Roman"/>
              </w:rPr>
              <w:t xml:space="preserve"> de </w:t>
            </w:r>
            <w:r w:rsidRPr="00F340AF">
              <w:rPr>
                <w:rFonts w:ascii="Times New Roman" w:hAnsi="Times New Roman" w:cs="Times New Roman"/>
                <w:b/>
                <w:bCs/>
              </w:rPr>
              <w:fldChar w:fldCharType="begin"/>
            </w:r>
            <w:r w:rsidRPr="00F340AF">
              <w:rPr>
                <w:rFonts w:ascii="Times New Roman" w:hAnsi="Times New Roman" w:cs="Times New Roman"/>
                <w:b/>
                <w:bCs/>
              </w:rPr>
              <w:instrText xml:space="preserve"> NUMPAGES  </w:instrText>
            </w:r>
            <w:r w:rsidRPr="00F340AF">
              <w:rPr>
                <w:rFonts w:ascii="Times New Roman" w:hAnsi="Times New Roman" w:cs="Times New Roman"/>
                <w:b/>
                <w:bCs/>
              </w:rPr>
              <w:fldChar w:fldCharType="separate"/>
            </w:r>
            <w:r w:rsidR="00DC11B2">
              <w:rPr>
                <w:rFonts w:ascii="Times New Roman" w:hAnsi="Times New Roman" w:cs="Times New Roman"/>
                <w:b/>
                <w:bCs/>
                <w:noProof/>
              </w:rPr>
              <w:t>22</w:t>
            </w:r>
            <w:r w:rsidRPr="00F340AF">
              <w:rPr>
                <w:rFonts w:ascii="Times New Roman" w:hAnsi="Times New Roman" w:cs="Times New Roman"/>
                <w:b/>
                <w:bCs/>
              </w:rPr>
              <w:fldChar w:fldCharType="end"/>
            </w:r>
          </w:p>
        </w:sdtContent>
      </w:sdt>
    </w:sdtContent>
  </w:sdt>
  <w:p w14:paraId="7835387D" w14:textId="022981AA" w:rsidR="009F4958" w:rsidRDefault="009F4958">
    <w:pPr>
      <w:pBdr>
        <w:top w:val="nil"/>
        <w:left w:val="nil"/>
        <w:bottom w:val="nil"/>
        <w:right w:val="nil"/>
        <w:between w:val="nil"/>
      </w:pBdr>
      <w:spacing w:after="0" w:line="240" w:lineRule="auto"/>
      <w:jc w:val="right"/>
      <w:rPr>
        <w:color w:val="96858A"/>
        <w:sz w:val="28"/>
        <w:szCs w:val="2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19569116"/>
      <w:docPartObj>
        <w:docPartGallery w:val="Page Numbers (Bottom of Page)"/>
        <w:docPartUnique/>
      </w:docPartObj>
    </w:sdtPr>
    <w:sdtEndPr>
      <w:rPr>
        <w:noProof/>
      </w:rPr>
    </w:sdtEndPr>
    <w:sdtContent>
      <w:sdt>
        <w:sdtPr>
          <w:id w:val="-751036090"/>
          <w:docPartObj>
            <w:docPartGallery w:val="Page Numbers (Bottom of Page)"/>
            <w:docPartUnique/>
          </w:docPartObj>
        </w:sdtPr>
        <w:sdtEndPr>
          <w:rPr>
            <w:rFonts w:ascii="Times New Roman" w:hAnsi="Times New Roman" w:cs="Times New Roman"/>
          </w:rPr>
        </w:sdtEndPr>
        <w:sdtContent>
          <w:sdt>
            <w:sdtPr>
              <w:id w:val="-666012567"/>
              <w:docPartObj>
                <w:docPartGallery w:val="Page Numbers (Top of Page)"/>
                <w:docPartUnique/>
              </w:docPartObj>
            </w:sdtPr>
            <w:sdtEndPr>
              <w:rPr>
                <w:rFonts w:ascii="Times New Roman" w:hAnsi="Times New Roman" w:cs="Times New Roman"/>
              </w:rPr>
            </w:sdtEndPr>
            <w:sdtContent>
              <w:p w14:paraId="17EFCCD9" w14:textId="77777777" w:rsidR="00F340AF" w:rsidRPr="00F340AF" w:rsidRDefault="00F340AF" w:rsidP="00F340AF">
                <w:pPr>
                  <w:pStyle w:val="Footer"/>
                  <w:jc w:val="right"/>
                  <w:rPr>
                    <w:rFonts w:ascii="Times New Roman" w:hAnsi="Times New Roman" w:cs="Times New Roman"/>
                  </w:rPr>
                </w:pPr>
                <w:r>
                  <w:t xml:space="preserve"> </w:t>
                </w:r>
                <w:r w:rsidRPr="00F340AF">
                  <w:rPr>
                    <w:rFonts w:ascii="Times New Roman" w:hAnsi="Times New Roman" w:cs="Times New Roman"/>
                  </w:rPr>
                  <w:t xml:space="preserve">Pág. </w:t>
                </w:r>
                <w:r w:rsidRPr="00F340AF">
                  <w:rPr>
                    <w:rFonts w:ascii="Times New Roman" w:hAnsi="Times New Roman" w:cs="Times New Roman"/>
                    <w:b/>
                    <w:bCs/>
                  </w:rPr>
                  <w:fldChar w:fldCharType="begin"/>
                </w:r>
                <w:r w:rsidRPr="00F340AF">
                  <w:rPr>
                    <w:rFonts w:ascii="Times New Roman" w:hAnsi="Times New Roman" w:cs="Times New Roman"/>
                    <w:b/>
                    <w:bCs/>
                  </w:rPr>
                  <w:instrText xml:space="preserve"> PAGE </w:instrText>
                </w:r>
                <w:r w:rsidRPr="00F340AF">
                  <w:rPr>
                    <w:rFonts w:ascii="Times New Roman" w:hAnsi="Times New Roman" w:cs="Times New Roman"/>
                    <w:b/>
                    <w:bCs/>
                  </w:rPr>
                  <w:fldChar w:fldCharType="separate"/>
                </w:r>
                <w:r w:rsidR="00DC11B2">
                  <w:rPr>
                    <w:rFonts w:ascii="Times New Roman" w:hAnsi="Times New Roman" w:cs="Times New Roman"/>
                    <w:b/>
                    <w:bCs/>
                    <w:noProof/>
                  </w:rPr>
                  <w:t>1</w:t>
                </w:r>
                <w:r w:rsidRPr="00F340AF">
                  <w:rPr>
                    <w:rFonts w:ascii="Times New Roman" w:hAnsi="Times New Roman" w:cs="Times New Roman"/>
                    <w:b/>
                    <w:bCs/>
                  </w:rPr>
                  <w:fldChar w:fldCharType="end"/>
                </w:r>
                <w:r w:rsidRPr="00F340AF">
                  <w:rPr>
                    <w:rFonts w:ascii="Times New Roman" w:hAnsi="Times New Roman" w:cs="Times New Roman"/>
                  </w:rPr>
                  <w:t xml:space="preserve"> de </w:t>
                </w:r>
                <w:r w:rsidRPr="00F340AF">
                  <w:rPr>
                    <w:rFonts w:ascii="Times New Roman" w:hAnsi="Times New Roman" w:cs="Times New Roman"/>
                    <w:b/>
                    <w:bCs/>
                  </w:rPr>
                  <w:fldChar w:fldCharType="begin"/>
                </w:r>
                <w:r w:rsidRPr="00F340AF">
                  <w:rPr>
                    <w:rFonts w:ascii="Times New Roman" w:hAnsi="Times New Roman" w:cs="Times New Roman"/>
                    <w:b/>
                    <w:bCs/>
                  </w:rPr>
                  <w:instrText xml:space="preserve"> NUMPAGES  </w:instrText>
                </w:r>
                <w:r w:rsidRPr="00F340AF">
                  <w:rPr>
                    <w:rFonts w:ascii="Times New Roman" w:hAnsi="Times New Roman" w:cs="Times New Roman"/>
                    <w:b/>
                    <w:bCs/>
                  </w:rPr>
                  <w:fldChar w:fldCharType="separate"/>
                </w:r>
                <w:r w:rsidR="00DC11B2">
                  <w:rPr>
                    <w:rFonts w:ascii="Times New Roman" w:hAnsi="Times New Roman" w:cs="Times New Roman"/>
                    <w:b/>
                    <w:bCs/>
                    <w:noProof/>
                  </w:rPr>
                  <w:t>1</w:t>
                </w:r>
                <w:r w:rsidRPr="00F340AF">
                  <w:rPr>
                    <w:rFonts w:ascii="Times New Roman" w:hAnsi="Times New Roman" w:cs="Times New Roman"/>
                    <w:b/>
                    <w:bCs/>
                  </w:rPr>
                  <w:fldChar w:fldCharType="end"/>
                </w:r>
              </w:p>
            </w:sdtContent>
          </w:sdt>
        </w:sdtContent>
      </w:sdt>
      <w:p w14:paraId="24A997CB" w14:textId="5EF1B660" w:rsidR="009F4958" w:rsidRDefault="00301E65" w:rsidP="00F340AF">
        <w:pPr>
          <w:pStyle w:val="Footer"/>
          <w:jc w:val="center"/>
        </w:pPr>
      </w:p>
    </w:sdtContent>
  </w:sdt>
  <w:p w14:paraId="18C66194" w14:textId="77777777" w:rsidR="009F4958" w:rsidRDefault="009F4958">
    <w:pPr>
      <w:pBdr>
        <w:top w:val="nil"/>
        <w:left w:val="nil"/>
        <w:bottom w:val="nil"/>
        <w:right w:val="nil"/>
        <w:between w:val="nil"/>
      </w:pBdr>
      <w:spacing w:after="0" w:line="240" w:lineRule="auto"/>
      <w:jc w:val="right"/>
      <w:rPr>
        <w:color w:val="96858A"/>
        <w:sz w:val="32"/>
        <w:szCs w:val="3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1AAA37F" w14:textId="77777777" w:rsidR="00301E65" w:rsidRDefault="00301E65">
      <w:pPr>
        <w:spacing w:after="0" w:line="240" w:lineRule="auto"/>
      </w:pPr>
      <w:r>
        <w:separator/>
      </w:r>
    </w:p>
  </w:footnote>
  <w:footnote w:type="continuationSeparator" w:id="0">
    <w:p w14:paraId="58FC4F4A" w14:textId="77777777" w:rsidR="00301E65" w:rsidRDefault="00301E65">
      <w:pPr>
        <w:spacing w:after="0" w:line="240" w:lineRule="auto"/>
      </w:pPr>
      <w:r>
        <w:continuationSeparator/>
      </w:r>
    </w:p>
  </w:footnote>
  <w:footnote w:id="1">
    <w:p w14:paraId="44D14502" w14:textId="385069A3" w:rsidR="009F4958" w:rsidRPr="00581281" w:rsidRDefault="009F4958">
      <w:pPr>
        <w:pStyle w:val="FootnoteText"/>
        <w:rPr>
          <w:rFonts w:ascii="Times New Roman" w:hAnsi="Times New Roman" w:cs="Times New Roman"/>
        </w:rPr>
      </w:pPr>
      <w:r w:rsidRPr="00581281">
        <w:rPr>
          <w:rStyle w:val="FootnoteReference"/>
          <w:rFonts w:ascii="Times New Roman" w:hAnsi="Times New Roman" w:cs="Times New Roman"/>
        </w:rPr>
        <w:footnoteRef/>
      </w:r>
      <w:r w:rsidRPr="00581281">
        <w:rPr>
          <w:rFonts w:ascii="Times New Roman" w:hAnsi="Times New Roman" w:cs="Times New Roman"/>
        </w:rPr>
        <w:t xml:space="preserve"> </w:t>
      </w:r>
      <w:r w:rsidRPr="00581281">
        <w:rPr>
          <w:rStyle w:val="Strong"/>
          <w:rFonts w:ascii="Times New Roman" w:hAnsi="Times New Roman" w:cs="Times New Roman"/>
          <w:b w:val="0"/>
        </w:rPr>
        <w:t>Pessoas que vivem com</w:t>
      </w:r>
      <w:r w:rsidRPr="00581281">
        <w:rPr>
          <w:rStyle w:val="Strong"/>
          <w:rFonts w:ascii="Times New Roman" w:hAnsi="Times New Roman" w:cs="Times New Roman"/>
        </w:rPr>
        <w:t xml:space="preserve"> </w:t>
      </w:r>
      <w:r w:rsidRPr="00581281">
        <w:rPr>
          <w:rFonts w:ascii="Times New Roman" w:hAnsi="Times New Roman" w:cs="Times New Roman"/>
        </w:rPr>
        <w:t xml:space="preserve">menos de </w:t>
      </w:r>
      <w:r w:rsidRPr="00581281">
        <w:rPr>
          <w:rStyle w:val="Strong"/>
          <w:rFonts w:ascii="Times New Roman" w:hAnsi="Times New Roman" w:cs="Times New Roman"/>
          <w:b w:val="0"/>
        </w:rPr>
        <w:t>2,15 USD</w:t>
      </w:r>
      <w:r w:rsidRPr="00581281">
        <w:rPr>
          <w:rFonts w:ascii="Times New Roman" w:hAnsi="Times New Roman" w:cs="Times New Roman"/>
        </w:rPr>
        <w:t xml:space="preserve"> por dia (usado para países de baixa renda) - Banco Mundial (2022)</w:t>
      </w:r>
    </w:p>
  </w:footnote>
  <w:footnote w:id="2">
    <w:p w14:paraId="12724190" w14:textId="77777777" w:rsidR="009F4958" w:rsidRPr="00581281" w:rsidRDefault="009F4958">
      <w:pPr>
        <w:pBdr>
          <w:top w:val="nil"/>
          <w:left w:val="nil"/>
          <w:bottom w:val="nil"/>
          <w:right w:val="nil"/>
          <w:between w:val="nil"/>
        </w:pBdr>
        <w:spacing w:after="0" w:line="240" w:lineRule="auto"/>
        <w:rPr>
          <w:rFonts w:ascii="Times New Roman" w:hAnsi="Times New Roman" w:cs="Times New Roman"/>
          <w:sz w:val="20"/>
          <w:szCs w:val="20"/>
        </w:rPr>
      </w:pPr>
      <w:r w:rsidRPr="00581281">
        <w:rPr>
          <w:rFonts w:ascii="Times New Roman" w:hAnsi="Times New Roman" w:cs="Times New Roman"/>
          <w:sz w:val="20"/>
          <w:szCs w:val="20"/>
          <w:vertAlign w:val="superscript"/>
        </w:rPr>
        <w:footnoteRef/>
      </w:r>
      <w:r w:rsidRPr="00581281">
        <w:rPr>
          <w:rFonts w:ascii="Times New Roman" w:hAnsi="Times New Roman" w:cs="Times New Roman"/>
          <w:sz w:val="20"/>
          <w:szCs w:val="20"/>
        </w:rPr>
        <w:t xml:space="preserve"> UNICEF (2020) Relatório Anual 2020. UNICEF. Disponível em: https://www.unicef.org/mozambique/relatorios/unicef-mo%C3%A7ambique-relat%C3%B3rio-anual-2020#:~:text=Mais%20de%20230.000,b%C3%A1sicas%20das%20crian%C3%A7as.</w:t>
      </w:r>
    </w:p>
  </w:footnote>
  <w:footnote w:id="3">
    <w:p w14:paraId="4449FEB7" w14:textId="77777777" w:rsidR="009F4958" w:rsidRPr="00581281" w:rsidRDefault="009F4958" w:rsidP="00692FF0">
      <w:pPr>
        <w:pBdr>
          <w:top w:val="nil"/>
          <w:left w:val="nil"/>
          <w:bottom w:val="nil"/>
          <w:right w:val="nil"/>
          <w:between w:val="nil"/>
        </w:pBdr>
        <w:spacing w:after="0" w:line="240" w:lineRule="auto"/>
        <w:rPr>
          <w:rFonts w:ascii="Times New Roman" w:hAnsi="Times New Roman" w:cs="Times New Roman"/>
          <w:sz w:val="20"/>
          <w:szCs w:val="20"/>
        </w:rPr>
      </w:pPr>
      <w:r w:rsidRPr="00581281">
        <w:rPr>
          <w:rFonts w:ascii="Times New Roman" w:hAnsi="Times New Roman" w:cs="Times New Roman"/>
          <w:sz w:val="20"/>
          <w:szCs w:val="20"/>
          <w:vertAlign w:val="superscript"/>
        </w:rPr>
        <w:footnoteRef/>
      </w:r>
      <w:r w:rsidRPr="00581281">
        <w:rPr>
          <w:rFonts w:ascii="Times New Roman" w:hAnsi="Times New Roman" w:cs="Times New Roman"/>
          <w:sz w:val="20"/>
          <w:szCs w:val="20"/>
        </w:rPr>
        <w:t xml:space="preserve"> INE (2023). Características sociodemográficas das crianças em Moçambique. Maputo: Instituto Nacional de Estatística.</w:t>
      </w:r>
    </w:p>
  </w:footnote>
  <w:footnote w:id="4">
    <w:p w14:paraId="58C6651F" w14:textId="525A5441" w:rsidR="009F4958" w:rsidRPr="00581281" w:rsidRDefault="009F4958" w:rsidP="00692FF0">
      <w:pPr>
        <w:pStyle w:val="FootnoteText"/>
        <w:rPr>
          <w:rFonts w:ascii="Times New Roman" w:hAnsi="Times New Roman" w:cs="Times New Roman"/>
        </w:rPr>
      </w:pPr>
      <w:r w:rsidRPr="00581281">
        <w:rPr>
          <w:rStyle w:val="FootnoteReference"/>
          <w:rFonts w:ascii="Times New Roman" w:hAnsi="Times New Roman" w:cs="Times New Roman"/>
        </w:rPr>
        <w:footnoteRef/>
      </w:r>
      <w:r w:rsidRPr="00581281">
        <w:rPr>
          <w:rFonts w:ascii="Times New Roman" w:hAnsi="Times New Roman" w:cs="Times New Roman"/>
        </w:rPr>
        <w:t xml:space="preserve"> </w:t>
      </w:r>
      <w:r w:rsidR="006A4310">
        <w:rPr>
          <w:rFonts w:ascii="Times New Roman" w:hAnsi="Times New Roman" w:cs="Times New Roman"/>
          <w:color w:val="auto"/>
        </w:rPr>
        <w:t>I</w:t>
      </w:r>
      <w:r w:rsidR="006A4310" w:rsidRPr="006A4310">
        <w:rPr>
          <w:rFonts w:ascii="Times New Roman" w:hAnsi="Times New Roman" w:cs="Times New Roman"/>
          <w:color w:val="auto"/>
        </w:rPr>
        <w:t>nstituto Nacional de Estatística (INE) &amp; ICF. (2024).</w:t>
      </w:r>
    </w:p>
  </w:footnote>
  <w:footnote w:id="5">
    <w:p w14:paraId="32DC5F01" w14:textId="029E016F" w:rsidR="009F4958" w:rsidRPr="00581281" w:rsidRDefault="009F4958">
      <w:pPr>
        <w:pStyle w:val="FootnoteText"/>
        <w:rPr>
          <w:rFonts w:ascii="Times New Roman" w:hAnsi="Times New Roman" w:cs="Times New Roman"/>
        </w:rPr>
      </w:pPr>
      <w:r w:rsidRPr="00581281">
        <w:rPr>
          <w:rStyle w:val="FootnoteReference"/>
          <w:rFonts w:ascii="Times New Roman" w:hAnsi="Times New Roman" w:cs="Times New Roman"/>
        </w:rPr>
        <w:footnoteRef/>
      </w:r>
      <w:r w:rsidRPr="00581281">
        <w:rPr>
          <w:rFonts w:ascii="Times New Roman" w:hAnsi="Times New Roman" w:cs="Times New Roman"/>
        </w:rPr>
        <w:t xml:space="preserve"> </w:t>
      </w:r>
      <w:r w:rsidR="006A4310">
        <w:rPr>
          <w:rFonts w:ascii="Times New Roman" w:hAnsi="Times New Roman" w:cs="Times New Roman"/>
        </w:rPr>
        <w:t>Idem.</w:t>
      </w:r>
    </w:p>
  </w:footnote>
  <w:footnote w:id="6">
    <w:p w14:paraId="65BD7E4E" w14:textId="77777777" w:rsidR="009F4958" w:rsidRPr="00581281" w:rsidRDefault="009F4958">
      <w:pPr>
        <w:pBdr>
          <w:top w:val="nil"/>
          <w:left w:val="nil"/>
          <w:bottom w:val="nil"/>
          <w:right w:val="nil"/>
          <w:between w:val="nil"/>
        </w:pBdr>
        <w:spacing w:after="0" w:line="240" w:lineRule="auto"/>
        <w:rPr>
          <w:rFonts w:ascii="Times New Roman" w:hAnsi="Times New Roman" w:cs="Times New Roman"/>
          <w:sz w:val="20"/>
          <w:szCs w:val="20"/>
        </w:rPr>
      </w:pPr>
      <w:r w:rsidRPr="00581281">
        <w:rPr>
          <w:rFonts w:ascii="Times New Roman" w:hAnsi="Times New Roman" w:cs="Times New Roman"/>
          <w:sz w:val="20"/>
          <w:szCs w:val="20"/>
          <w:vertAlign w:val="superscript"/>
        </w:rPr>
        <w:footnoteRef/>
      </w:r>
      <w:r w:rsidRPr="00581281">
        <w:rPr>
          <w:rFonts w:ascii="Times New Roman" w:hAnsi="Times New Roman" w:cs="Times New Roman"/>
          <w:sz w:val="20"/>
          <w:szCs w:val="20"/>
        </w:rPr>
        <w:t xml:space="preserve"> UNFPA (2021).Relatório Anual do UNFPA Moçambique. UNFPA. disponível em: </w:t>
      </w:r>
      <w:hyperlink r:id="rId1" w:anchor=":~:text=mo%C3%A7ambicanas%20nesta%20idade.-,At%C3%A9%20Dezembro%20de%202019%2C%20foram%20atendidas%20no%20sistema%20de%20educa%C3%A7%C3%A3o%20pr%C3%A9,mais%20o%20acesso%20eficaz%20de%20sua%20popula%C3%A7%C3%A3o%20aos%20servi%C3%A7os%20sociais%20b%C3%A1sic">
        <w:r w:rsidRPr="00581281">
          <w:rPr>
            <w:rFonts w:ascii="Times New Roman" w:hAnsi="Times New Roman" w:cs="Times New Roman"/>
            <w:color w:val="33B7D3"/>
            <w:sz w:val="20"/>
            <w:szCs w:val="20"/>
            <w:u w:val="single"/>
          </w:rPr>
          <w:t>A Educação de Infância em Moçambique - Issuu</w:t>
        </w:r>
      </w:hyperlink>
      <w:r w:rsidRPr="00581281">
        <w:rPr>
          <w:rFonts w:ascii="Times New Roman" w:hAnsi="Times New Roman" w:cs="Times New Roman"/>
          <w:sz w:val="20"/>
          <w:szCs w:val="20"/>
        </w:rPr>
        <w:t xml:space="preserve"> </w:t>
      </w:r>
    </w:p>
  </w:footnote>
  <w:footnote w:id="7">
    <w:p w14:paraId="2B4A425F" w14:textId="42D5B8CD" w:rsidR="009F4958" w:rsidRPr="00581281" w:rsidRDefault="009F4958">
      <w:pPr>
        <w:pStyle w:val="FootnoteText"/>
        <w:rPr>
          <w:rFonts w:ascii="Times New Roman" w:hAnsi="Times New Roman" w:cs="Times New Roman"/>
        </w:rPr>
      </w:pPr>
      <w:r w:rsidRPr="00581281">
        <w:rPr>
          <w:rStyle w:val="FootnoteReference"/>
          <w:rFonts w:ascii="Times New Roman" w:hAnsi="Times New Roman" w:cs="Times New Roman"/>
        </w:rPr>
        <w:footnoteRef/>
      </w:r>
      <w:r w:rsidRPr="00581281">
        <w:rPr>
          <w:rFonts w:ascii="Times New Roman" w:hAnsi="Times New Roman" w:cs="Times New Roman"/>
        </w:rPr>
        <w:t xml:space="preserve"> </w:t>
      </w:r>
      <w:r w:rsidR="006A4310">
        <w:rPr>
          <w:rFonts w:ascii="Times New Roman" w:hAnsi="Times New Roman" w:cs="Times New Roman"/>
          <w:color w:val="auto"/>
        </w:rPr>
        <w:t>I</w:t>
      </w:r>
      <w:r w:rsidR="006A4310" w:rsidRPr="006A4310">
        <w:rPr>
          <w:rFonts w:ascii="Times New Roman" w:hAnsi="Times New Roman" w:cs="Times New Roman"/>
          <w:color w:val="auto"/>
        </w:rPr>
        <w:t>nstituto Nacional de Estatística (INE) &amp; ICF. (2024).</w:t>
      </w:r>
    </w:p>
  </w:footnote>
  <w:footnote w:id="8">
    <w:p w14:paraId="31A36FA5" w14:textId="77777777" w:rsidR="009F4958" w:rsidRPr="00581281" w:rsidRDefault="009F4958">
      <w:pPr>
        <w:pBdr>
          <w:top w:val="nil"/>
          <w:left w:val="nil"/>
          <w:bottom w:val="nil"/>
          <w:right w:val="nil"/>
          <w:between w:val="nil"/>
        </w:pBdr>
        <w:spacing w:after="240" w:line="240" w:lineRule="auto"/>
        <w:rPr>
          <w:rFonts w:ascii="Times New Roman" w:hAnsi="Times New Roman" w:cs="Times New Roman"/>
          <w:sz w:val="20"/>
          <w:szCs w:val="20"/>
        </w:rPr>
      </w:pPr>
      <w:r w:rsidRPr="00581281">
        <w:rPr>
          <w:rFonts w:ascii="Times New Roman" w:hAnsi="Times New Roman" w:cs="Times New Roman"/>
          <w:sz w:val="20"/>
          <w:szCs w:val="20"/>
          <w:vertAlign w:val="superscript"/>
        </w:rPr>
        <w:footnoteRef/>
      </w:r>
      <w:r w:rsidRPr="00581281">
        <w:rPr>
          <w:rFonts w:ascii="Times New Roman" w:hAnsi="Times New Roman" w:cs="Times New Roman"/>
          <w:sz w:val="20"/>
          <w:szCs w:val="20"/>
        </w:rPr>
        <w:t xml:space="preserve"> UNICEF (2013). Avaliação Alimentar e de Segurança Alimentar de Base do SETSAN (2013); Inquérito Demográfico e de Saúde (2011). UNICEF. Disponível em: </w:t>
      </w:r>
      <w:hyperlink r:id="rId2" w:anchor=":~:text=A%20desnutri%C3%A7%C3%A3o%20cr%C3%B3nica,de%20priva%C3%A7%C3%A3o%20intergeracional">
        <w:r w:rsidRPr="00581281">
          <w:rPr>
            <w:rFonts w:ascii="Times New Roman" w:hAnsi="Times New Roman" w:cs="Times New Roman"/>
            <w:color w:val="33B7D3"/>
            <w:sz w:val="20"/>
            <w:szCs w:val="20"/>
            <w:u w:val="single"/>
          </w:rPr>
          <w:t>https://www.unicef.org/mozambique/nutri%C3%A7%C3%A3o#:~:text=A%20desnutri%C3%A7%C3%A3o%20cr%C3%B3nica,de%20priva%C3%A7%C3%A3o%20intergeracional</w:t>
        </w:r>
      </w:hyperlink>
      <w:r w:rsidRPr="00581281">
        <w:rPr>
          <w:rFonts w:ascii="Times New Roman" w:hAnsi="Times New Roman" w:cs="Times New Roman"/>
          <w:sz w:val="20"/>
          <w:szCs w:val="20"/>
        </w:rPr>
        <w:t xml:space="preserve"> .</w:t>
      </w:r>
    </w:p>
  </w:footnote>
  <w:footnote w:id="9">
    <w:p w14:paraId="65FEE9B3" w14:textId="77777777" w:rsidR="009F4958" w:rsidRPr="00581281" w:rsidRDefault="009F4958">
      <w:pPr>
        <w:pBdr>
          <w:top w:val="nil"/>
          <w:left w:val="nil"/>
          <w:bottom w:val="nil"/>
          <w:right w:val="nil"/>
          <w:between w:val="nil"/>
        </w:pBdr>
        <w:spacing w:after="0" w:line="240" w:lineRule="auto"/>
        <w:rPr>
          <w:rFonts w:ascii="Times New Roman" w:hAnsi="Times New Roman" w:cs="Times New Roman"/>
          <w:sz w:val="20"/>
          <w:szCs w:val="20"/>
        </w:rPr>
      </w:pPr>
      <w:r w:rsidRPr="00581281">
        <w:rPr>
          <w:rFonts w:ascii="Times New Roman" w:hAnsi="Times New Roman" w:cs="Times New Roman"/>
          <w:sz w:val="20"/>
          <w:szCs w:val="20"/>
          <w:vertAlign w:val="superscript"/>
        </w:rPr>
        <w:footnoteRef/>
      </w:r>
      <w:r w:rsidRPr="00581281">
        <w:rPr>
          <w:rFonts w:ascii="Times New Roman" w:hAnsi="Times New Roman" w:cs="Times New Roman"/>
          <w:sz w:val="20"/>
          <w:szCs w:val="20"/>
        </w:rPr>
        <w:t xml:space="preserve"> UNICEF (2021). Situação das Crianças em Moçambique. Disponível em: </w:t>
      </w:r>
      <w:hyperlink r:id="rId3">
        <w:r w:rsidRPr="00581281">
          <w:rPr>
            <w:rFonts w:ascii="Times New Roman" w:hAnsi="Times New Roman" w:cs="Times New Roman"/>
            <w:color w:val="33B7D3"/>
            <w:sz w:val="20"/>
            <w:szCs w:val="20"/>
            <w:u w:val="single"/>
          </w:rPr>
          <w:t>A Situação das Crianças em Moçambique 2021 Relatório Completo.pdf (unicef.org)</w:t>
        </w:r>
      </w:hyperlink>
    </w:p>
  </w:footnote>
  <w:footnote w:id="10">
    <w:p w14:paraId="7F587348" w14:textId="77777777" w:rsidR="009F4958" w:rsidRPr="00581281" w:rsidRDefault="009F4958">
      <w:pPr>
        <w:pBdr>
          <w:top w:val="nil"/>
          <w:left w:val="nil"/>
          <w:bottom w:val="nil"/>
          <w:right w:val="nil"/>
          <w:between w:val="nil"/>
        </w:pBdr>
        <w:spacing w:after="0" w:line="240" w:lineRule="auto"/>
        <w:rPr>
          <w:rFonts w:ascii="Times New Roman" w:hAnsi="Times New Roman" w:cs="Times New Roman"/>
          <w:sz w:val="20"/>
          <w:szCs w:val="20"/>
        </w:rPr>
      </w:pPr>
      <w:r w:rsidRPr="00581281">
        <w:rPr>
          <w:rFonts w:ascii="Times New Roman" w:hAnsi="Times New Roman" w:cs="Times New Roman"/>
          <w:sz w:val="20"/>
          <w:szCs w:val="20"/>
          <w:vertAlign w:val="superscript"/>
        </w:rPr>
        <w:footnoteRef/>
      </w:r>
      <w:r w:rsidRPr="00581281">
        <w:rPr>
          <w:rFonts w:ascii="Times New Roman" w:hAnsi="Times New Roman" w:cs="Times New Roman"/>
          <w:sz w:val="20"/>
          <w:szCs w:val="20"/>
        </w:rPr>
        <w:t xml:space="preserve"> DICIPE (2012). Estratégia do Desenvolvimento Integrado da Criança em Idade Pre-escolar_2012-2021.Maputo. Disponível em: https://www.mgcas.gov.mz/index.php/imprensa/discursos/publicacoes-estudos/crianca/estrategia-do-desenvolvimento-integrado-da-crianca-em-idade-pre-escolar-2012-2021</w:t>
      </w:r>
    </w:p>
  </w:footnote>
  <w:footnote w:id="11">
    <w:p w14:paraId="7F4B89A3" w14:textId="77777777" w:rsidR="009F4958" w:rsidRPr="00581281" w:rsidRDefault="009F4958">
      <w:pPr>
        <w:pBdr>
          <w:top w:val="nil"/>
          <w:left w:val="nil"/>
          <w:bottom w:val="nil"/>
          <w:right w:val="nil"/>
          <w:between w:val="nil"/>
        </w:pBdr>
        <w:spacing w:after="0" w:line="240" w:lineRule="auto"/>
        <w:rPr>
          <w:rFonts w:ascii="Times New Roman" w:hAnsi="Times New Roman" w:cs="Times New Roman"/>
          <w:sz w:val="20"/>
          <w:szCs w:val="20"/>
        </w:rPr>
      </w:pPr>
      <w:r w:rsidRPr="00581281">
        <w:rPr>
          <w:rFonts w:ascii="Times New Roman" w:hAnsi="Times New Roman" w:cs="Times New Roman"/>
          <w:sz w:val="20"/>
          <w:szCs w:val="20"/>
          <w:vertAlign w:val="superscript"/>
        </w:rPr>
        <w:footnoteRef/>
      </w:r>
      <w:r w:rsidRPr="00581281">
        <w:rPr>
          <w:rFonts w:ascii="Times New Roman" w:hAnsi="Times New Roman" w:cs="Times New Roman"/>
          <w:sz w:val="20"/>
          <w:szCs w:val="20"/>
        </w:rPr>
        <w:t xml:space="preserve"> MINEDH (2020). Plano estratégico da Educação 2020-2029.Mocambique. Disponível em: https://www.mined.gov.mz/assets/docs/plano-estrategico-da-educacao.pdf </w:t>
      </w:r>
    </w:p>
  </w:footnote>
  <w:footnote w:id="12">
    <w:p w14:paraId="0FEC356B" w14:textId="77777777" w:rsidR="009F4958" w:rsidRPr="00581281" w:rsidRDefault="009F4958">
      <w:pPr>
        <w:pBdr>
          <w:top w:val="nil"/>
          <w:left w:val="nil"/>
          <w:bottom w:val="nil"/>
          <w:right w:val="nil"/>
          <w:between w:val="nil"/>
        </w:pBdr>
        <w:spacing w:after="0" w:line="240" w:lineRule="auto"/>
        <w:rPr>
          <w:rFonts w:ascii="Times New Roman" w:hAnsi="Times New Roman" w:cs="Times New Roman"/>
          <w:sz w:val="20"/>
          <w:szCs w:val="20"/>
        </w:rPr>
      </w:pPr>
      <w:r w:rsidRPr="00581281">
        <w:rPr>
          <w:rFonts w:ascii="Times New Roman" w:hAnsi="Times New Roman" w:cs="Times New Roman"/>
          <w:sz w:val="20"/>
          <w:szCs w:val="20"/>
          <w:vertAlign w:val="superscript"/>
        </w:rPr>
        <w:footnoteRef/>
      </w:r>
      <w:r w:rsidRPr="00581281">
        <w:rPr>
          <w:rFonts w:ascii="Times New Roman" w:hAnsi="Times New Roman" w:cs="Times New Roman"/>
          <w:sz w:val="20"/>
          <w:szCs w:val="20"/>
        </w:rPr>
        <w:t>https://www.mgcas.gov.mz/index.php/imprensa/noticias?start=75</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802E3B" w14:textId="423957A4" w:rsidR="009F4958" w:rsidRDefault="009F4958">
    <w:pPr>
      <w:pBdr>
        <w:top w:val="nil"/>
        <w:left w:val="nil"/>
        <w:bottom w:val="nil"/>
        <w:right w:val="nil"/>
        <w:between w:val="nil"/>
      </w:pBdr>
      <w:tabs>
        <w:tab w:val="center" w:pos="4680"/>
        <w:tab w:val="right" w:pos="9360"/>
      </w:tabs>
      <w:spacing w:after="0" w:line="240" w:lineRule="aut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0E45078" w14:textId="77777777" w:rsidR="009F4958" w:rsidRDefault="009F4958">
    <w:pPr>
      <w:pBdr>
        <w:top w:val="nil"/>
        <w:left w:val="nil"/>
        <w:bottom w:val="nil"/>
        <w:right w:val="nil"/>
        <w:between w:val="nil"/>
      </w:pBdr>
      <w:tabs>
        <w:tab w:val="center" w:pos="4680"/>
        <w:tab w:val="right" w:pos="9360"/>
      </w:tabs>
      <w:spacing w:after="0" w:line="240" w:lineRule="auto"/>
      <w:jc w:val="center"/>
      <w:rPr>
        <w:b/>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C034BC"/>
    <w:multiLevelType w:val="multilevel"/>
    <w:tmpl w:val="7652BE9C"/>
    <w:lvl w:ilvl="0">
      <w:start w:val="5"/>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13C34458"/>
    <w:multiLevelType w:val="multilevel"/>
    <w:tmpl w:val="6754814E"/>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17FC43B5"/>
    <w:multiLevelType w:val="multilevel"/>
    <w:tmpl w:val="91E81834"/>
    <w:lvl w:ilvl="0">
      <w:start w:val="1"/>
      <w:numFmt w:val="lowerRoman"/>
      <w:lvlText w:val="%1."/>
      <w:lvlJc w:val="left"/>
      <w:pPr>
        <w:ind w:left="1080" w:hanging="72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197B2C92"/>
    <w:multiLevelType w:val="multilevel"/>
    <w:tmpl w:val="5502B9B0"/>
    <w:lvl w:ilvl="0">
      <w:start w:val="4"/>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1B9E447C"/>
    <w:multiLevelType w:val="hybridMultilevel"/>
    <w:tmpl w:val="F2AE95AA"/>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5">
    <w:nsid w:val="21352594"/>
    <w:multiLevelType w:val="multilevel"/>
    <w:tmpl w:val="B67C5116"/>
    <w:lvl w:ilvl="0">
      <w:start w:val="1"/>
      <w:numFmt w:val="lowerRoman"/>
      <w:lvlText w:val="%1."/>
      <w:lvlJc w:val="left"/>
      <w:pPr>
        <w:ind w:left="720" w:hanging="720"/>
      </w:pPr>
      <w:rPr>
        <w:b/>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6">
    <w:nsid w:val="3B2E02A9"/>
    <w:multiLevelType w:val="hybridMultilevel"/>
    <w:tmpl w:val="6B424998"/>
    <w:lvl w:ilvl="0" w:tplc="0409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7">
    <w:nsid w:val="3C99671A"/>
    <w:multiLevelType w:val="multilevel"/>
    <w:tmpl w:val="2AA08388"/>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3CAC4B30"/>
    <w:multiLevelType w:val="multilevel"/>
    <w:tmpl w:val="ED08F712"/>
    <w:lvl w:ilvl="0">
      <w:start w:val="1"/>
      <w:numFmt w:val="decimal"/>
      <w:lvlText w:val="%1."/>
      <w:lvlJc w:val="left"/>
      <w:pPr>
        <w:ind w:left="720" w:hanging="360"/>
      </w:p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
    <w:nsid w:val="41406948"/>
    <w:multiLevelType w:val="multilevel"/>
    <w:tmpl w:val="9C04E28A"/>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nsid w:val="452A0C54"/>
    <w:multiLevelType w:val="multilevel"/>
    <w:tmpl w:val="60AE69F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1">
    <w:nsid w:val="4A823107"/>
    <w:multiLevelType w:val="multilevel"/>
    <w:tmpl w:val="0FC8DA1C"/>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nsid w:val="61930106"/>
    <w:multiLevelType w:val="multilevel"/>
    <w:tmpl w:val="EFE82D6A"/>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3">
    <w:nsid w:val="634D5C00"/>
    <w:multiLevelType w:val="multilevel"/>
    <w:tmpl w:val="8CB69E4A"/>
    <w:lvl w:ilvl="0">
      <w:start w:val="1"/>
      <w:numFmt w:val="lowerRoman"/>
      <w:lvlText w:val="%1."/>
      <w:lvlJc w:val="left"/>
      <w:pPr>
        <w:ind w:left="720" w:hanging="72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4">
    <w:nsid w:val="66BF0B24"/>
    <w:multiLevelType w:val="multilevel"/>
    <w:tmpl w:val="15D617C0"/>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5">
    <w:nsid w:val="6EDE06CB"/>
    <w:multiLevelType w:val="hybridMultilevel"/>
    <w:tmpl w:val="38AA41D2"/>
    <w:lvl w:ilvl="0" w:tplc="0816000F">
      <w:start w:val="1"/>
      <w:numFmt w:val="decimal"/>
      <w:lvlText w:val="%1."/>
      <w:lvlJc w:val="left"/>
      <w:pPr>
        <w:ind w:left="720" w:hanging="360"/>
      </w:pPr>
      <w:rPr>
        <w:rFonts w:hint="default"/>
      </w:rPr>
    </w:lvl>
    <w:lvl w:ilvl="1" w:tplc="08160019">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6">
    <w:nsid w:val="7FA24C77"/>
    <w:multiLevelType w:val="hybridMultilevel"/>
    <w:tmpl w:val="817CCFEE"/>
    <w:lvl w:ilvl="0" w:tplc="0409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num w:numId="1">
    <w:abstractNumId w:val="5"/>
  </w:num>
  <w:num w:numId="2">
    <w:abstractNumId w:val="11"/>
  </w:num>
  <w:num w:numId="3">
    <w:abstractNumId w:val="12"/>
  </w:num>
  <w:num w:numId="4">
    <w:abstractNumId w:val="10"/>
  </w:num>
  <w:num w:numId="5">
    <w:abstractNumId w:val="14"/>
  </w:num>
  <w:num w:numId="6">
    <w:abstractNumId w:val="8"/>
  </w:num>
  <w:num w:numId="7">
    <w:abstractNumId w:val="2"/>
  </w:num>
  <w:num w:numId="8">
    <w:abstractNumId w:val="13"/>
  </w:num>
  <w:num w:numId="9">
    <w:abstractNumId w:val="4"/>
  </w:num>
  <w:num w:numId="10">
    <w:abstractNumId w:val="15"/>
  </w:num>
  <w:num w:numId="11">
    <w:abstractNumId w:val="7"/>
  </w:num>
  <w:num w:numId="12">
    <w:abstractNumId w:val="1"/>
  </w:num>
  <w:num w:numId="13">
    <w:abstractNumId w:val="6"/>
  </w:num>
  <w:num w:numId="14">
    <w:abstractNumId w:val="3"/>
  </w:num>
  <w:num w:numId="15">
    <w:abstractNumId w:val="0"/>
  </w:num>
  <w:num w:numId="16">
    <w:abstractNumId w:val="9"/>
  </w:num>
  <w:num w:numId="1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TrueTypeFonts/>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70213"/>
    <w:rsid w:val="000278F3"/>
    <w:rsid w:val="0003063A"/>
    <w:rsid w:val="0003068E"/>
    <w:rsid w:val="00032B92"/>
    <w:rsid w:val="000356E3"/>
    <w:rsid w:val="00036425"/>
    <w:rsid w:val="00036635"/>
    <w:rsid w:val="00070213"/>
    <w:rsid w:val="00080834"/>
    <w:rsid w:val="00091C8D"/>
    <w:rsid w:val="000A3B4A"/>
    <w:rsid w:val="000D0615"/>
    <w:rsid w:val="000E0336"/>
    <w:rsid w:val="00105C8A"/>
    <w:rsid w:val="00135248"/>
    <w:rsid w:val="00150378"/>
    <w:rsid w:val="00184FD5"/>
    <w:rsid w:val="0019538C"/>
    <w:rsid w:val="001B0493"/>
    <w:rsid w:val="001B28D2"/>
    <w:rsid w:val="0020214E"/>
    <w:rsid w:val="0020561C"/>
    <w:rsid w:val="00207CBB"/>
    <w:rsid w:val="00210B76"/>
    <w:rsid w:val="00220867"/>
    <w:rsid w:val="0022609E"/>
    <w:rsid w:val="0023701F"/>
    <w:rsid w:val="00243E30"/>
    <w:rsid w:val="002530F9"/>
    <w:rsid w:val="00272C84"/>
    <w:rsid w:val="002903B3"/>
    <w:rsid w:val="002B18EA"/>
    <w:rsid w:val="002D26B9"/>
    <w:rsid w:val="002D43E0"/>
    <w:rsid w:val="002E57EA"/>
    <w:rsid w:val="002E7737"/>
    <w:rsid w:val="002F5D51"/>
    <w:rsid w:val="00301E65"/>
    <w:rsid w:val="003140BE"/>
    <w:rsid w:val="003A57DD"/>
    <w:rsid w:val="003E0B52"/>
    <w:rsid w:val="00404D2D"/>
    <w:rsid w:val="00411E7B"/>
    <w:rsid w:val="00412413"/>
    <w:rsid w:val="00424C7F"/>
    <w:rsid w:val="00463858"/>
    <w:rsid w:val="00467330"/>
    <w:rsid w:val="004A25EE"/>
    <w:rsid w:val="00516CA8"/>
    <w:rsid w:val="00551413"/>
    <w:rsid w:val="00565FCE"/>
    <w:rsid w:val="00567ABA"/>
    <w:rsid w:val="00571482"/>
    <w:rsid w:val="00581281"/>
    <w:rsid w:val="005F1B36"/>
    <w:rsid w:val="00617D26"/>
    <w:rsid w:val="00617FCD"/>
    <w:rsid w:val="0062431D"/>
    <w:rsid w:val="006260CF"/>
    <w:rsid w:val="006445DB"/>
    <w:rsid w:val="00654FEB"/>
    <w:rsid w:val="00670788"/>
    <w:rsid w:val="00692FF0"/>
    <w:rsid w:val="006A1C2D"/>
    <w:rsid w:val="006A4310"/>
    <w:rsid w:val="00712C16"/>
    <w:rsid w:val="0075243C"/>
    <w:rsid w:val="00781871"/>
    <w:rsid w:val="00792845"/>
    <w:rsid w:val="007D3DCE"/>
    <w:rsid w:val="00804556"/>
    <w:rsid w:val="00804C16"/>
    <w:rsid w:val="00810510"/>
    <w:rsid w:val="00822543"/>
    <w:rsid w:val="00847689"/>
    <w:rsid w:val="00876F65"/>
    <w:rsid w:val="008D10D8"/>
    <w:rsid w:val="008F4C07"/>
    <w:rsid w:val="008F6307"/>
    <w:rsid w:val="009279A9"/>
    <w:rsid w:val="00963763"/>
    <w:rsid w:val="009A7783"/>
    <w:rsid w:val="009B04FA"/>
    <w:rsid w:val="009B5F82"/>
    <w:rsid w:val="009B73A7"/>
    <w:rsid w:val="009C4C1D"/>
    <w:rsid w:val="009E21A4"/>
    <w:rsid w:val="009F4958"/>
    <w:rsid w:val="00A0176E"/>
    <w:rsid w:val="00A12A94"/>
    <w:rsid w:val="00A23FD0"/>
    <w:rsid w:val="00AC2A6F"/>
    <w:rsid w:val="00AD5229"/>
    <w:rsid w:val="00AF559E"/>
    <w:rsid w:val="00B001C2"/>
    <w:rsid w:val="00B324E4"/>
    <w:rsid w:val="00B353D0"/>
    <w:rsid w:val="00B45A51"/>
    <w:rsid w:val="00B54B1F"/>
    <w:rsid w:val="00B57471"/>
    <w:rsid w:val="00B60F0A"/>
    <w:rsid w:val="00B9162E"/>
    <w:rsid w:val="00B9171B"/>
    <w:rsid w:val="00BA3D83"/>
    <w:rsid w:val="00BB1E96"/>
    <w:rsid w:val="00BD2E20"/>
    <w:rsid w:val="00BD56FC"/>
    <w:rsid w:val="00BE300F"/>
    <w:rsid w:val="00BE3167"/>
    <w:rsid w:val="00BF351A"/>
    <w:rsid w:val="00C07EEF"/>
    <w:rsid w:val="00C1524B"/>
    <w:rsid w:val="00C16732"/>
    <w:rsid w:val="00C456B2"/>
    <w:rsid w:val="00C53D01"/>
    <w:rsid w:val="00C55060"/>
    <w:rsid w:val="00CC40BD"/>
    <w:rsid w:val="00D055A7"/>
    <w:rsid w:val="00D31958"/>
    <w:rsid w:val="00D35CA2"/>
    <w:rsid w:val="00D53867"/>
    <w:rsid w:val="00D60A61"/>
    <w:rsid w:val="00D61FD9"/>
    <w:rsid w:val="00D9426E"/>
    <w:rsid w:val="00DB4403"/>
    <w:rsid w:val="00DB5543"/>
    <w:rsid w:val="00DB78CD"/>
    <w:rsid w:val="00DC11B2"/>
    <w:rsid w:val="00DC300F"/>
    <w:rsid w:val="00DF6A4A"/>
    <w:rsid w:val="00E02E8A"/>
    <w:rsid w:val="00E25550"/>
    <w:rsid w:val="00ED436C"/>
    <w:rsid w:val="00EE1C50"/>
    <w:rsid w:val="00EF29B2"/>
    <w:rsid w:val="00EF4922"/>
    <w:rsid w:val="00F16CE9"/>
    <w:rsid w:val="00F340AF"/>
    <w:rsid w:val="00F35517"/>
    <w:rsid w:val="00F35E81"/>
    <w:rsid w:val="00F62D51"/>
    <w:rsid w:val="00F63367"/>
    <w:rsid w:val="00F71E8C"/>
    <w:rsid w:val="00F84EE2"/>
    <w:rsid w:val="00FA3A8E"/>
    <w:rsid w:val="0215279D"/>
    <w:rsid w:val="041738FB"/>
    <w:rsid w:val="04D40519"/>
    <w:rsid w:val="04D9C9B1"/>
    <w:rsid w:val="05318E3E"/>
    <w:rsid w:val="0531AC71"/>
    <w:rsid w:val="0545FF0D"/>
    <w:rsid w:val="05BB3FB2"/>
    <w:rsid w:val="07373D84"/>
    <w:rsid w:val="073A3911"/>
    <w:rsid w:val="07BA61B4"/>
    <w:rsid w:val="0D7185CA"/>
    <w:rsid w:val="0E16568B"/>
    <w:rsid w:val="12E165E6"/>
    <w:rsid w:val="145909A4"/>
    <w:rsid w:val="193D302E"/>
    <w:rsid w:val="19F8E7AC"/>
    <w:rsid w:val="20830AE9"/>
    <w:rsid w:val="22BBA280"/>
    <w:rsid w:val="231306AC"/>
    <w:rsid w:val="2345EA9B"/>
    <w:rsid w:val="23A01F38"/>
    <w:rsid w:val="256A3A4E"/>
    <w:rsid w:val="26C53724"/>
    <w:rsid w:val="2B80B4E0"/>
    <w:rsid w:val="2B8B3F1E"/>
    <w:rsid w:val="31D2E7C8"/>
    <w:rsid w:val="327C4A56"/>
    <w:rsid w:val="33BD5150"/>
    <w:rsid w:val="33D50711"/>
    <w:rsid w:val="35F05F86"/>
    <w:rsid w:val="38D2274A"/>
    <w:rsid w:val="3B0E511C"/>
    <w:rsid w:val="3BC9FA19"/>
    <w:rsid w:val="3BDCB542"/>
    <w:rsid w:val="41484827"/>
    <w:rsid w:val="4155445A"/>
    <w:rsid w:val="42D872AE"/>
    <w:rsid w:val="48F6C7D2"/>
    <w:rsid w:val="4D21970E"/>
    <w:rsid w:val="4D65879C"/>
    <w:rsid w:val="4DA1BE28"/>
    <w:rsid w:val="4EFA0E56"/>
    <w:rsid w:val="53D4B5F0"/>
    <w:rsid w:val="566C51EC"/>
    <w:rsid w:val="5697ACBC"/>
    <w:rsid w:val="56F39AAF"/>
    <w:rsid w:val="5A2CFA3A"/>
    <w:rsid w:val="5AA2CF17"/>
    <w:rsid w:val="5D3931C7"/>
    <w:rsid w:val="5D7F4C49"/>
    <w:rsid w:val="5ED4F664"/>
    <w:rsid w:val="611AECEF"/>
    <w:rsid w:val="634149B3"/>
    <w:rsid w:val="6543FCE8"/>
    <w:rsid w:val="659971F0"/>
    <w:rsid w:val="67206B20"/>
    <w:rsid w:val="69117DCB"/>
    <w:rsid w:val="69E0F4FC"/>
    <w:rsid w:val="71EBB542"/>
    <w:rsid w:val="7256C835"/>
    <w:rsid w:val="730D76C2"/>
    <w:rsid w:val="73E3D3C8"/>
    <w:rsid w:val="745BBBFE"/>
    <w:rsid w:val="7D5F437E"/>
    <w:rsid w:val="7D87490F"/>
    <w:rsid w:val="7DC0815B"/>
  </w:rsids>
  <m:mathPr>
    <m:mathFont m:val="Cambria Math"/>
    <m:brkBin m:val="before"/>
    <m:brkBinSub m:val="--"/>
    <m:smallFrac m:val="0"/>
    <m:dispDef/>
    <m:lMargin m:val="0"/>
    <m:rMargin m:val="0"/>
    <m:defJc m:val="centerGroup"/>
    <m:wrapIndent m:val="1440"/>
    <m:intLim m:val="subSup"/>
    <m:naryLim m:val="undOvr"/>
  </m:mathPr>
  <w:themeFontLang w:val="pt-P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2F4B2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Montserrat" w:eastAsia="Montserrat" w:hAnsi="Montserrat" w:cs="Montserrat"/>
        <w:color w:val="483E41"/>
        <w:sz w:val="24"/>
        <w:szCs w:val="24"/>
        <w:lang w:val="pt-PT" w:eastAsia="pt-PT" w:bidi="ar-SA"/>
      </w:rPr>
    </w:rPrDefault>
    <w:pPrDefault>
      <w:pPr>
        <w:spacing w:after="360" w:line="28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uiPriority w:val="9"/>
    <w:qFormat/>
    <w:pPr>
      <w:keepNext/>
      <w:keepLines/>
      <w:spacing w:after="280" w:line="240" w:lineRule="auto"/>
      <w:ind w:left="432" w:hanging="432"/>
      <w:jc w:val="both"/>
      <w:outlineLvl w:val="0"/>
    </w:pPr>
    <w:rPr>
      <w:rFonts w:ascii="Montserrat Black" w:eastAsia="Montserrat Black" w:hAnsi="Montserrat Black" w:cs="Montserrat Black"/>
      <w:color w:val="404040"/>
      <w:sz w:val="32"/>
      <w:szCs w:val="32"/>
    </w:rPr>
  </w:style>
  <w:style w:type="paragraph" w:styleId="Heading2">
    <w:name w:val="heading 2"/>
    <w:basedOn w:val="Normal"/>
    <w:next w:val="Normal"/>
    <w:uiPriority w:val="9"/>
    <w:unhideWhenUsed/>
    <w:qFormat/>
    <w:pPr>
      <w:keepNext/>
      <w:keepLines/>
      <w:spacing w:before="140" w:after="120" w:line="240" w:lineRule="auto"/>
      <w:ind w:left="576" w:hanging="576"/>
      <w:jc w:val="both"/>
      <w:outlineLvl w:val="1"/>
    </w:pPr>
    <w:rPr>
      <w:rFonts w:ascii="Montserrat SemiBold" w:eastAsia="Montserrat SemiBold" w:hAnsi="Montserrat SemiBold" w:cs="Montserrat SemiBold"/>
      <w:smallCaps/>
      <w:color w:val="000000"/>
    </w:rPr>
  </w:style>
  <w:style w:type="paragraph" w:styleId="Heading3">
    <w:name w:val="heading 3"/>
    <w:basedOn w:val="Normal"/>
    <w:next w:val="Normal"/>
    <w:uiPriority w:val="9"/>
    <w:semiHidden/>
    <w:unhideWhenUsed/>
    <w:qFormat/>
    <w:pPr>
      <w:keepNext/>
      <w:keepLines/>
      <w:spacing w:after="0" w:line="264" w:lineRule="auto"/>
      <w:ind w:left="720" w:hanging="720"/>
      <w:jc w:val="both"/>
      <w:outlineLvl w:val="2"/>
    </w:pPr>
    <w:rPr>
      <w:rFonts w:ascii="Tahoma" w:eastAsia="Tahoma" w:hAnsi="Tahoma" w:cs="Tahoma"/>
      <w:b/>
      <w:smallCaps/>
      <w:sz w:val="22"/>
      <w:szCs w:val="22"/>
    </w:rPr>
  </w:style>
  <w:style w:type="paragraph" w:styleId="Heading4">
    <w:name w:val="heading 4"/>
    <w:basedOn w:val="Normal"/>
    <w:next w:val="Normal"/>
    <w:uiPriority w:val="9"/>
    <w:semiHidden/>
    <w:unhideWhenUsed/>
    <w:qFormat/>
    <w:pPr>
      <w:keepNext/>
      <w:keepLines/>
      <w:spacing w:before="140" w:after="120" w:line="264" w:lineRule="auto"/>
      <w:ind w:left="864" w:hanging="864"/>
      <w:outlineLvl w:val="3"/>
    </w:pPr>
    <w:rPr>
      <w:rFonts w:ascii="Tahoma" w:eastAsia="Tahoma" w:hAnsi="Tahoma" w:cs="Tahoma"/>
      <w:smallCaps/>
    </w:rPr>
  </w:style>
  <w:style w:type="paragraph" w:styleId="Heading5">
    <w:name w:val="heading 5"/>
    <w:basedOn w:val="Normal"/>
    <w:next w:val="Normal"/>
    <w:uiPriority w:val="9"/>
    <w:semiHidden/>
    <w:unhideWhenUsed/>
    <w:qFormat/>
    <w:pPr>
      <w:keepNext/>
      <w:keepLines/>
      <w:spacing w:before="140" w:after="120" w:line="264" w:lineRule="auto"/>
      <w:ind w:left="1008" w:hanging="1008"/>
      <w:outlineLvl w:val="4"/>
    </w:pPr>
    <w:rPr>
      <w:rFonts w:ascii="Tahoma" w:eastAsia="Tahoma" w:hAnsi="Tahoma" w:cs="Tahoma"/>
      <w:b/>
      <w:smallCaps/>
      <w:color w:val="33B7D3"/>
      <w:sz w:val="20"/>
      <w:szCs w:val="20"/>
    </w:rPr>
  </w:style>
  <w:style w:type="paragraph" w:styleId="Heading6">
    <w:name w:val="heading 6"/>
    <w:basedOn w:val="Normal"/>
    <w:next w:val="Normal"/>
    <w:uiPriority w:val="9"/>
    <w:semiHidden/>
    <w:unhideWhenUsed/>
    <w:qFormat/>
    <w:pPr>
      <w:keepNext/>
      <w:keepLines/>
      <w:spacing w:before="140" w:after="120" w:line="264" w:lineRule="auto"/>
      <w:ind w:left="1152" w:hanging="1152"/>
      <w:outlineLvl w:val="5"/>
    </w:pPr>
    <w:rPr>
      <w:rFonts w:ascii="Tahoma" w:eastAsia="Tahoma" w:hAnsi="Tahoma" w:cs="Tahoma"/>
      <w:smallCaps/>
      <w:color w:val="33B7D3"/>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NormalTable0">
    <w:name w:val="Normal Table0"/>
    <w:tblPr>
      <w:tblCellMar>
        <w:top w:w="0" w:type="dxa"/>
        <w:left w:w="0" w:type="dxa"/>
        <w:bottom w:w="0" w:type="dxa"/>
        <w:right w:w="0" w:type="dxa"/>
      </w:tblCellMar>
    </w:tblPr>
  </w:style>
  <w:style w:type="paragraph" w:styleId="Title">
    <w:name w:val="Title"/>
    <w:basedOn w:val="Normal"/>
    <w:next w:val="Normal"/>
    <w:link w:val="TitleChar"/>
    <w:uiPriority w:val="10"/>
    <w:qFormat/>
    <w:pPr>
      <w:spacing w:after="0" w:line="240" w:lineRule="auto"/>
    </w:pPr>
    <w:rPr>
      <w:rFonts w:ascii="Tahoma" w:eastAsia="Tahoma" w:hAnsi="Tahoma" w:cs="Tahoma"/>
      <w:b/>
      <w:smallCaps/>
      <w:sz w:val="88"/>
      <w:szCs w:val="88"/>
    </w:rPr>
  </w:style>
  <w:style w:type="paragraph" w:styleId="Subtitle">
    <w:name w:val="Subtitle"/>
    <w:basedOn w:val="Normal"/>
    <w:next w:val="Normal"/>
    <w:uiPriority w:val="11"/>
    <w:qFormat/>
    <w:pPr>
      <w:spacing w:after="260"/>
    </w:pPr>
    <w:rPr>
      <w:rFonts w:ascii="Tahoma" w:eastAsia="Tahoma" w:hAnsi="Tahoma" w:cs="Tahoma"/>
      <w:smallCaps/>
      <w:sz w:val="88"/>
      <w:szCs w:val="88"/>
    </w:rPr>
  </w:style>
  <w:style w:type="paragraph" w:styleId="Header">
    <w:name w:val="header"/>
    <w:basedOn w:val="Normal"/>
    <w:link w:val="HeaderChar"/>
    <w:uiPriority w:val="99"/>
    <w:unhideWhenUsed/>
    <w:rsid w:val="00F35517"/>
    <w:pPr>
      <w:tabs>
        <w:tab w:val="center" w:pos="4513"/>
        <w:tab w:val="right" w:pos="9026"/>
      </w:tabs>
      <w:spacing w:after="0" w:line="240" w:lineRule="auto"/>
    </w:pPr>
  </w:style>
  <w:style w:type="character" w:customStyle="1" w:styleId="HeaderChar">
    <w:name w:val="Header Char"/>
    <w:basedOn w:val="DefaultParagraphFont"/>
    <w:link w:val="Header"/>
    <w:uiPriority w:val="99"/>
    <w:rsid w:val="00F35517"/>
  </w:style>
  <w:style w:type="paragraph" w:styleId="Footer">
    <w:name w:val="footer"/>
    <w:basedOn w:val="Normal"/>
    <w:link w:val="FooterChar"/>
    <w:uiPriority w:val="99"/>
    <w:unhideWhenUsed/>
    <w:rsid w:val="00F35517"/>
    <w:pPr>
      <w:tabs>
        <w:tab w:val="center" w:pos="4513"/>
        <w:tab w:val="right" w:pos="9026"/>
      </w:tabs>
      <w:spacing w:after="0" w:line="240" w:lineRule="auto"/>
    </w:pPr>
  </w:style>
  <w:style w:type="character" w:customStyle="1" w:styleId="FooterChar">
    <w:name w:val="Footer Char"/>
    <w:basedOn w:val="DefaultParagraphFont"/>
    <w:link w:val="Footer"/>
    <w:uiPriority w:val="99"/>
    <w:rsid w:val="00F35517"/>
  </w:style>
  <w:style w:type="paragraph" w:styleId="TOCHeading">
    <w:name w:val="TOC Heading"/>
    <w:basedOn w:val="Heading1"/>
    <w:next w:val="Normal"/>
    <w:uiPriority w:val="39"/>
    <w:unhideWhenUsed/>
    <w:qFormat/>
    <w:rsid w:val="002F5D51"/>
    <w:pPr>
      <w:spacing w:before="240" w:after="0" w:line="259" w:lineRule="auto"/>
      <w:ind w:left="0" w:firstLine="0"/>
      <w:jc w:val="left"/>
      <w:outlineLvl w:val="9"/>
    </w:pPr>
    <w:rPr>
      <w:rFonts w:asciiTheme="majorHAnsi" w:eastAsiaTheme="majorEastAsia" w:hAnsiTheme="majorHAnsi" w:cstheme="majorBidi"/>
      <w:color w:val="365F91" w:themeColor="accent1" w:themeShade="BF"/>
    </w:rPr>
  </w:style>
  <w:style w:type="paragraph" w:styleId="TOC1">
    <w:name w:val="toc 1"/>
    <w:basedOn w:val="Normal"/>
    <w:next w:val="Normal"/>
    <w:autoRedefine/>
    <w:uiPriority w:val="39"/>
    <w:unhideWhenUsed/>
    <w:rsid w:val="00F71E8C"/>
    <w:pPr>
      <w:tabs>
        <w:tab w:val="left" w:pos="440"/>
        <w:tab w:val="right" w:leader="dot" w:pos="9350"/>
      </w:tabs>
      <w:spacing w:after="100"/>
    </w:pPr>
    <w:rPr>
      <w:b/>
      <w:bCs/>
      <w:noProof/>
    </w:rPr>
  </w:style>
  <w:style w:type="paragraph" w:styleId="TOC2">
    <w:name w:val="toc 2"/>
    <w:basedOn w:val="Normal"/>
    <w:next w:val="Normal"/>
    <w:autoRedefine/>
    <w:uiPriority w:val="39"/>
    <w:unhideWhenUsed/>
    <w:rsid w:val="002F5D51"/>
    <w:pPr>
      <w:spacing w:after="100"/>
      <w:ind w:left="240"/>
    </w:pPr>
  </w:style>
  <w:style w:type="character" w:styleId="Hyperlink">
    <w:name w:val="Hyperlink"/>
    <w:basedOn w:val="DefaultParagraphFont"/>
    <w:uiPriority w:val="99"/>
    <w:unhideWhenUsed/>
    <w:rsid w:val="002F5D51"/>
    <w:rPr>
      <w:color w:val="0000FF" w:themeColor="hyperlink"/>
      <w:u w:val="single"/>
    </w:rPr>
  </w:style>
  <w:style w:type="paragraph" w:styleId="ListParagraph">
    <w:name w:val="List Paragraph"/>
    <w:basedOn w:val="Normal"/>
    <w:uiPriority w:val="34"/>
    <w:qFormat/>
    <w:rsid w:val="000356E3"/>
    <w:pPr>
      <w:ind w:left="720"/>
      <w:contextualSpacing/>
    </w:pPr>
  </w:style>
  <w:style w:type="character" w:customStyle="1" w:styleId="UnresolvedMention">
    <w:name w:val="Unresolved Mention"/>
    <w:basedOn w:val="DefaultParagraphFont"/>
    <w:uiPriority w:val="99"/>
    <w:semiHidden/>
    <w:unhideWhenUsed/>
    <w:rsid w:val="00F62D51"/>
    <w:rPr>
      <w:color w:val="605E5C"/>
      <w:shd w:val="clear" w:color="auto" w:fill="E1DFDD"/>
    </w:r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Revision">
    <w:name w:val="Revision"/>
    <w:hidden/>
    <w:uiPriority w:val="99"/>
    <w:semiHidden/>
    <w:rsid w:val="00963763"/>
    <w:pPr>
      <w:spacing w:after="0" w:line="240" w:lineRule="auto"/>
    </w:pPr>
  </w:style>
  <w:style w:type="paragraph" w:styleId="BalloonText">
    <w:name w:val="Balloon Text"/>
    <w:basedOn w:val="Normal"/>
    <w:link w:val="BalloonTextChar"/>
    <w:uiPriority w:val="99"/>
    <w:semiHidden/>
    <w:unhideWhenUsed/>
    <w:rsid w:val="00654FE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54FEB"/>
    <w:rPr>
      <w:rFonts w:ascii="Segoe UI" w:hAnsi="Segoe UI" w:cs="Segoe UI"/>
      <w:sz w:val="18"/>
      <w:szCs w:val="18"/>
    </w:rPr>
  </w:style>
  <w:style w:type="paragraph" w:styleId="CommentSubject">
    <w:name w:val="annotation subject"/>
    <w:basedOn w:val="CommentText"/>
    <w:next w:val="CommentText"/>
    <w:link w:val="CommentSubjectChar"/>
    <w:uiPriority w:val="99"/>
    <w:semiHidden/>
    <w:unhideWhenUsed/>
    <w:rsid w:val="009A7783"/>
    <w:rPr>
      <w:b/>
      <w:bCs/>
    </w:rPr>
  </w:style>
  <w:style w:type="character" w:customStyle="1" w:styleId="CommentSubjectChar">
    <w:name w:val="Comment Subject Char"/>
    <w:basedOn w:val="CommentTextChar"/>
    <w:link w:val="CommentSubject"/>
    <w:uiPriority w:val="99"/>
    <w:semiHidden/>
    <w:rsid w:val="009A7783"/>
    <w:rPr>
      <w:b/>
      <w:bCs/>
      <w:sz w:val="20"/>
      <w:szCs w:val="20"/>
    </w:rPr>
  </w:style>
  <w:style w:type="paragraph" w:styleId="FootnoteText">
    <w:name w:val="footnote text"/>
    <w:basedOn w:val="Normal"/>
    <w:link w:val="FootnoteTextChar"/>
    <w:uiPriority w:val="99"/>
    <w:semiHidden/>
    <w:unhideWhenUsed/>
    <w:rsid w:val="00ED436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D436C"/>
    <w:rPr>
      <w:sz w:val="20"/>
      <w:szCs w:val="20"/>
    </w:rPr>
  </w:style>
  <w:style w:type="character" w:styleId="FootnoteReference">
    <w:name w:val="footnote reference"/>
    <w:basedOn w:val="DefaultParagraphFont"/>
    <w:uiPriority w:val="99"/>
    <w:semiHidden/>
    <w:unhideWhenUsed/>
    <w:rsid w:val="00ED436C"/>
    <w:rPr>
      <w:vertAlign w:val="superscript"/>
    </w:rPr>
  </w:style>
  <w:style w:type="character" w:styleId="Strong">
    <w:name w:val="Strong"/>
    <w:basedOn w:val="DefaultParagraphFont"/>
    <w:uiPriority w:val="22"/>
    <w:qFormat/>
    <w:rsid w:val="00ED436C"/>
    <w:rPr>
      <w:b/>
      <w:bCs/>
    </w:rPr>
  </w:style>
  <w:style w:type="character" w:customStyle="1" w:styleId="TitleChar">
    <w:name w:val="Title Char"/>
    <w:basedOn w:val="DefaultParagraphFont"/>
    <w:link w:val="Title"/>
    <w:uiPriority w:val="10"/>
    <w:rsid w:val="002E57EA"/>
    <w:rPr>
      <w:rFonts w:ascii="Tahoma" w:eastAsia="Tahoma" w:hAnsi="Tahoma" w:cs="Tahoma"/>
      <w:b/>
      <w:smallCaps/>
      <w:sz w:val="88"/>
      <w:szCs w:val="8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Montserrat" w:eastAsia="Montserrat" w:hAnsi="Montserrat" w:cs="Montserrat"/>
        <w:color w:val="483E41"/>
        <w:sz w:val="24"/>
        <w:szCs w:val="24"/>
        <w:lang w:val="pt-PT" w:eastAsia="pt-PT" w:bidi="ar-SA"/>
      </w:rPr>
    </w:rPrDefault>
    <w:pPrDefault>
      <w:pPr>
        <w:spacing w:after="360" w:line="28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uiPriority w:val="9"/>
    <w:qFormat/>
    <w:pPr>
      <w:keepNext/>
      <w:keepLines/>
      <w:spacing w:after="280" w:line="240" w:lineRule="auto"/>
      <w:ind w:left="432" w:hanging="432"/>
      <w:jc w:val="both"/>
      <w:outlineLvl w:val="0"/>
    </w:pPr>
    <w:rPr>
      <w:rFonts w:ascii="Montserrat Black" w:eastAsia="Montserrat Black" w:hAnsi="Montserrat Black" w:cs="Montserrat Black"/>
      <w:color w:val="404040"/>
      <w:sz w:val="32"/>
      <w:szCs w:val="32"/>
    </w:rPr>
  </w:style>
  <w:style w:type="paragraph" w:styleId="Heading2">
    <w:name w:val="heading 2"/>
    <w:basedOn w:val="Normal"/>
    <w:next w:val="Normal"/>
    <w:uiPriority w:val="9"/>
    <w:unhideWhenUsed/>
    <w:qFormat/>
    <w:pPr>
      <w:keepNext/>
      <w:keepLines/>
      <w:spacing w:before="140" w:after="120" w:line="240" w:lineRule="auto"/>
      <w:ind w:left="576" w:hanging="576"/>
      <w:jc w:val="both"/>
      <w:outlineLvl w:val="1"/>
    </w:pPr>
    <w:rPr>
      <w:rFonts w:ascii="Montserrat SemiBold" w:eastAsia="Montserrat SemiBold" w:hAnsi="Montserrat SemiBold" w:cs="Montserrat SemiBold"/>
      <w:smallCaps/>
      <w:color w:val="000000"/>
    </w:rPr>
  </w:style>
  <w:style w:type="paragraph" w:styleId="Heading3">
    <w:name w:val="heading 3"/>
    <w:basedOn w:val="Normal"/>
    <w:next w:val="Normal"/>
    <w:uiPriority w:val="9"/>
    <w:semiHidden/>
    <w:unhideWhenUsed/>
    <w:qFormat/>
    <w:pPr>
      <w:keepNext/>
      <w:keepLines/>
      <w:spacing w:after="0" w:line="264" w:lineRule="auto"/>
      <w:ind w:left="720" w:hanging="720"/>
      <w:jc w:val="both"/>
      <w:outlineLvl w:val="2"/>
    </w:pPr>
    <w:rPr>
      <w:rFonts w:ascii="Tahoma" w:eastAsia="Tahoma" w:hAnsi="Tahoma" w:cs="Tahoma"/>
      <w:b/>
      <w:smallCaps/>
      <w:sz w:val="22"/>
      <w:szCs w:val="22"/>
    </w:rPr>
  </w:style>
  <w:style w:type="paragraph" w:styleId="Heading4">
    <w:name w:val="heading 4"/>
    <w:basedOn w:val="Normal"/>
    <w:next w:val="Normal"/>
    <w:uiPriority w:val="9"/>
    <w:semiHidden/>
    <w:unhideWhenUsed/>
    <w:qFormat/>
    <w:pPr>
      <w:keepNext/>
      <w:keepLines/>
      <w:spacing w:before="140" w:after="120" w:line="264" w:lineRule="auto"/>
      <w:ind w:left="864" w:hanging="864"/>
      <w:outlineLvl w:val="3"/>
    </w:pPr>
    <w:rPr>
      <w:rFonts w:ascii="Tahoma" w:eastAsia="Tahoma" w:hAnsi="Tahoma" w:cs="Tahoma"/>
      <w:smallCaps/>
    </w:rPr>
  </w:style>
  <w:style w:type="paragraph" w:styleId="Heading5">
    <w:name w:val="heading 5"/>
    <w:basedOn w:val="Normal"/>
    <w:next w:val="Normal"/>
    <w:uiPriority w:val="9"/>
    <w:semiHidden/>
    <w:unhideWhenUsed/>
    <w:qFormat/>
    <w:pPr>
      <w:keepNext/>
      <w:keepLines/>
      <w:spacing w:before="140" w:after="120" w:line="264" w:lineRule="auto"/>
      <w:ind w:left="1008" w:hanging="1008"/>
      <w:outlineLvl w:val="4"/>
    </w:pPr>
    <w:rPr>
      <w:rFonts w:ascii="Tahoma" w:eastAsia="Tahoma" w:hAnsi="Tahoma" w:cs="Tahoma"/>
      <w:b/>
      <w:smallCaps/>
      <w:color w:val="33B7D3"/>
      <w:sz w:val="20"/>
      <w:szCs w:val="20"/>
    </w:rPr>
  </w:style>
  <w:style w:type="paragraph" w:styleId="Heading6">
    <w:name w:val="heading 6"/>
    <w:basedOn w:val="Normal"/>
    <w:next w:val="Normal"/>
    <w:uiPriority w:val="9"/>
    <w:semiHidden/>
    <w:unhideWhenUsed/>
    <w:qFormat/>
    <w:pPr>
      <w:keepNext/>
      <w:keepLines/>
      <w:spacing w:before="140" w:after="120" w:line="264" w:lineRule="auto"/>
      <w:ind w:left="1152" w:hanging="1152"/>
      <w:outlineLvl w:val="5"/>
    </w:pPr>
    <w:rPr>
      <w:rFonts w:ascii="Tahoma" w:eastAsia="Tahoma" w:hAnsi="Tahoma" w:cs="Tahoma"/>
      <w:smallCaps/>
      <w:color w:val="33B7D3"/>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NormalTable0">
    <w:name w:val="Normal Table0"/>
    <w:tblPr>
      <w:tblCellMar>
        <w:top w:w="0" w:type="dxa"/>
        <w:left w:w="0" w:type="dxa"/>
        <w:bottom w:w="0" w:type="dxa"/>
        <w:right w:w="0" w:type="dxa"/>
      </w:tblCellMar>
    </w:tblPr>
  </w:style>
  <w:style w:type="paragraph" w:styleId="Title">
    <w:name w:val="Title"/>
    <w:basedOn w:val="Normal"/>
    <w:next w:val="Normal"/>
    <w:link w:val="TitleChar"/>
    <w:uiPriority w:val="10"/>
    <w:qFormat/>
    <w:pPr>
      <w:spacing w:after="0" w:line="240" w:lineRule="auto"/>
    </w:pPr>
    <w:rPr>
      <w:rFonts w:ascii="Tahoma" w:eastAsia="Tahoma" w:hAnsi="Tahoma" w:cs="Tahoma"/>
      <w:b/>
      <w:smallCaps/>
      <w:sz w:val="88"/>
      <w:szCs w:val="88"/>
    </w:rPr>
  </w:style>
  <w:style w:type="paragraph" w:styleId="Subtitle">
    <w:name w:val="Subtitle"/>
    <w:basedOn w:val="Normal"/>
    <w:next w:val="Normal"/>
    <w:uiPriority w:val="11"/>
    <w:qFormat/>
    <w:pPr>
      <w:spacing w:after="260"/>
    </w:pPr>
    <w:rPr>
      <w:rFonts w:ascii="Tahoma" w:eastAsia="Tahoma" w:hAnsi="Tahoma" w:cs="Tahoma"/>
      <w:smallCaps/>
      <w:sz w:val="88"/>
      <w:szCs w:val="88"/>
    </w:rPr>
  </w:style>
  <w:style w:type="paragraph" w:styleId="Header">
    <w:name w:val="header"/>
    <w:basedOn w:val="Normal"/>
    <w:link w:val="HeaderChar"/>
    <w:uiPriority w:val="99"/>
    <w:unhideWhenUsed/>
    <w:rsid w:val="00F35517"/>
    <w:pPr>
      <w:tabs>
        <w:tab w:val="center" w:pos="4513"/>
        <w:tab w:val="right" w:pos="9026"/>
      </w:tabs>
      <w:spacing w:after="0" w:line="240" w:lineRule="auto"/>
    </w:pPr>
  </w:style>
  <w:style w:type="character" w:customStyle="1" w:styleId="HeaderChar">
    <w:name w:val="Header Char"/>
    <w:basedOn w:val="DefaultParagraphFont"/>
    <w:link w:val="Header"/>
    <w:uiPriority w:val="99"/>
    <w:rsid w:val="00F35517"/>
  </w:style>
  <w:style w:type="paragraph" w:styleId="Footer">
    <w:name w:val="footer"/>
    <w:basedOn w:val="Normal"/>
    <w:link w:val="FooterChar"/>
    <w:uiPriority w:val="99"/>
    <w:unhideWhenUsed/>
    <w:rsid w:val="00F35517"/>
    <w:pPr>
      <w:tabs>
        <w:tab w:val="center" w:pos="4513"/>
        <w:tab w:val="right" w:pos="9026"/>
      </w:tabs>
      <w:spacing w:after="0" w:line="240" w:lineRule="auto"/>
    </w:pPr>
  </w:style>
  <w:style w:type="character" w:customStyle="1" w:styleId="FooterChar">
    <w:name w:val="Footer Char"/>
    <w:basedOn w:val="DefaultParagraphFont"/>
    <w:link w:val="Footer"/>
    <w:uiPriority w:val="99"/>
    <w:rsid w:val="00F35517"/>
  </w:style>
  <w:style w:type="paragraph" w:styleId="TOCHeading">
    <w:name w:val="TOC Heading"/>
    <w:basedOn w:val="Heading1"/>
    <w:next w:val="Normal"/>
    <w:uiPriority w:val="39"/>
    <w:unhideWhenUsed/>
    <w:qFormat/>
    <w:rsid w:val="002F5D51"/>
    <w:pPr>
      <w:spacing w:before="240" w:after="0" w:line="259" w:lineRule="auto"/>
      <w:ind w:left="0" w:firstLine="0"/>
      <w:jc w:val="left"/>
      <w:outlineLvl w:val="9"/>
    </w:pPr>
    <w:rPr>
      <w:rFonts w:asciiTheme="majorHAnsi" w:eastAsiaTheme="majorEastAsia" w:hAnsiTheme="majorHAnsi" w:cstheme="majorBidi"/>
      <w:color w:val="365F91" w:themeColor="accent1" w:themeShade="BF"/>
    </w:rPr>
  </w:style>
  <w:style w:type="paragraph" w:styleId="TOC1">
    <w:name w:val="toc 1"/>
    <w:basedOn w:val="Normal"/>
    <w:next w:val="Normal"/>
    <w:autoRedefine/>
    <w:uiPriority w:val="39"/>
    <w:unhideWhenUsed/>
    <w:rsid w:val="00F71E8C"/>
    <w:pPr>
      <w:tabs>
        <w:tab w:val="left" w:pos="440"/>
        <w:tab w:val="right" w:leader="dot" w:pos="9350"/>
      </w:tabs>
      <w:spacing w:after="100"/>
    </w:pPr>
    <w:rPr>
      <w:b/>
      <w:bCs/>
      <w:noProof/>
    </w:rPr>
  </w:style>
  <w:style w:type="paragraph" w:styleId="TOC2">
    <w:name w:val="toc 2"/>
    <w:basedOn w:val="Normal"/>
    <w:next w:val="Normal"/>
    <w:autoRedefine/>
    <w:uiPriority w:val="39"/>
    <w:unhideWhenUsed/>
    <w:rsid w:val="002F5D51"/>
    <w:pPr>
      <w:spacing w:after="100"/>
      <w:ind w:left="240"/>
    </w:pPr>
  </w:style>
  <w:style w:type="character" w:styleId="Hyperlink">
    <w:name w:val="Hyperlink"/>
    <w:basedOn w:val="DefaultParagraphFont"/>
    <w:uiPriority w:val="99"/>
    <w:unhideWhenUsed/>
    <w:rsid w:val="002F5D51"/>
    <w:rPr>
      <w:color w:val="0000FF" w:themeColor="hyperlink"/>
      <w:u w:val="single"/>
    </w:rPr>
  </w:style>
  <w:style w:type="paragraph" w:styleId="ListParagraph">
    <w:name w:val="List Paragraph"/>
    <w:basedOn w:val="Normal"/>
    <w:uiPriority w:val="34"/>
    <w:qFormat/>
    <w:rsid w:val="000356E3"/>
    <w:pPr>
      <w:ind w:left="720"/>
      <w:contextualSpacing/>
    </w:pPr>
  </w:style>
  <w:style w:type="character" w:customStyle="1" w:styleId="UnresolvedMention">
    <w:name w:val="Unresolved Mention"/>
    <w:basedOn w:val="DefaultParagraphFont"/>
    <w:uiPriority w:val="99"/>
    <w:semiHidden/>
    <w:unhideWhenUsed/>
    <w:rsid w:val="00F62D51"/>
    <w:rPr>
      <w:color w:val="605E5C"/>
      <w:shd w:val="clear" w:color="auto" w:fill="E1DFDD"/>
    </w:r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Revision">
    <w:name w:val="Revision"/>
    <w:hidden/>
    <w:uiPriority w:val="99"/>
    <w:semiHidden/>
    <w:rsid w:val="00963763"/>
    <w:pPr>
      <w:spacing w:after="0" w:line="240" w:lineRule="auto"/>
    </w:pPr>
  </w:style>
  <w:style w:type="paragraph" w:styleId="BalloonText">
    <w:name w:val="Balloon Text"/>
    <w:basedOn w:val="Normal"/>
    <w:link w:val="BalloonTextChar"/>
    <w:uiPriority w:val="99"/>
    <w:semiHidden/>
    <w:unhideWhenUsed/>
    <w:rsid w:val="00654FE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54FEB"/>
    <w:rPr>
      <w:rFonts w:ascii="Segoe UI" w:hAnsi="Segoe UI" w:cs="Segoe UI"/>
      <w:sz w:val="18"/>
      <w:szCs w:val="18"/>
    </w:rPr>
  </w:style>
  <w:style w:type="paragraph" w:styleId="CommentSubject">
    <w:name w:val="annotation subject"/>
    <w:basedOn w:val="CommentText"/>
    <w:next w:val="CommentText"/>
    <w:link w:val="CommentSubjectChar"/>
    <w:uiPriority w:val="99"/>
    <w:semiHidden/>
    <w:unhideWhenUsed/>
    <w:rsid w:val="009A7783"/>
    <w:rPr>
      <w:b/>
      <w:bCs/>
    </w:rPr>
  </w:style>
  <w:style w:type="character" w:customStyle="1" w:styleId="CommentSubjectChar">
    <w:name w:val="Comment Subject Char"/>
    <w:basedOn w:val="CommentTextChar"/>
    <w:link w:val="CommentSubject"/>
    <w:uiPriority w:val="99"/>
    <w:semiHidden/>
    <w:rsid w:val="009A7783"/>
    <w:rPr>
      <w:b/>
      <w:bCs/>
      <w:sz w:val="20"/>
      <w:szCs w:val="20"/>
    </w:rPr>
  </w:style>
  <w:style w:type="paragraph" w:styleId="FootnoteText">
    <w:name w:val="footnote text"/>
    <w:basedOn w:val="Normal"/>
    <w:link w:val="FootnoteTextChar"/>
    <w:uiPriority w:val="99"/>
    <w:semiHidden/>
    <w:unhideWhenUsed/>
    <w:rsid w:val="00ED436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D436C"/>
    <w:rPr>
      <w:sz w:val="20"/>
      <w:szCs w:val="20"/>
    </w:rPr>
  </w:style>
  <w:style w:type="character" w:styleId="FootnoteReference">
    <w:name w:val="footnote reference"/>
    <w:basedOn w:val="DefaultParagraphFont"/>
    <w:uiPriority w:val="99"/>
    <w:semiHidden/>
    <w:unhideWhenUsed/>
    <w:rsid w:val="00ED436C"/>
    <w:rPr>
      <w:vertAlign w:val="superscript"/>
    </w:rPr>
  </w:style>
  <w:style w:type="character" w:styleId="Strong">
    <w:name w:val="Strong"/>
    <w:basedOn w:val="DefaultParagraphFont"/>
    <w:uiPriority w:val="22"/>
    <w:qFormat/>
    <w:rsid w:val="00ED436C"/>
    <w:rPr>
      <w:b/>
      <w:bCs/>
    </w:rPr>
  </w:style>
  <w:style w:type="character" w:customStyle="1" w:styleId="TitleChar">
    <w:name w:val="Title Char"/>
    <w:basedOn w:val="DefaultParagraphFont"/>
    <w:link w:val="Title"/>
    <w:uiPriority w:val="10"/>
    <w:rsid w:val="002E57EA"/>
    <w:rPr>
      <w:rFonts w:ascii="Tahoma" w:eastAsia="Tahoma" w:hAnsi="Tahoma" w:cs="Tahoma"/>
      <w:b/>
      <w:smallCaps/>
      <w:sz w:val="88"/>
      <w:szCs w:val="8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9257142">
      <w:bodyDiv w:val="1"/>
      <w:marLeft w:val="0"/>
      <w:marRight w:val="0"/>
      <w:marTop w:val="0"/>
      <w:marBottom w:val="0"/>
      <w:divBdr>
        <w:top w:val="none" w:sz="0" w:space="0" w:color="auto"/>
        <w:left w:val="none" w:sz="0" w:space="0" w:color="auto"/>
        <w:bottom w:val="none" w:sz="0" w:space="0" w:color="auto"/>
        <w:right w:val="none" w:sz="0" w:space="0" w:color="auto"/>
      </w:divBdr>
      <w:divsChild>
        <w:div w:id="472865481">
          <w:marLeft w:val="0"/>
          <w:marRight w:val="0"/>
          <w:marTop w:val="0"/>
          <w:marBottom w:val="0"/>
          <w:divBdr>
            <w:top w:val="none" w:sz="0" w:space="0" w:color="auto"/>
            <w:left w:val="none" w:sz="0" w:space="0" w:color="auto"/>
            <w:bottom w:val="none" w:sz="0" w:space="0" w:color="auto"/>
            <w:right w:val="none" w:sz="0" w:space="0" w:color="auto"/>
          </w:divBdr>
          <w:divsChild>
            <w:div w:id="1378428224">
              <w:blockQuote w:val="1"/>
              <w:marLeft w:val="600"/>
              <w:marRight w:val="600"/>
              <w:marTop w:val="360"/>
              <w:marBottom w:val="360"/>
              <w:divBdr>
                <w:top w:val="none" w:sz="0" w:space="0" w:color="auto"/>
                <w:left w:val="none" w:sz="0" w:space="0" w:color="auto"/>
                <w:bottom w:val="none" w:sz="0" w:space="0" w:color="auto"/>
                <w:right w:val="none" w:sz="0" w:space="0" w:color="auto"/>
              </w:divBdr>
              <w:divsChild>
                <w:div w:id="280378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712232">
      <w:bodyDiv w:val="1"/>
      <w:marLeft w:val="0"/>
      <w:marRight w:val="0"/>
      <w:marTop w:val="0"/>
      <w:marBottom w:val="0"/>
      <w:divBdr>
        <w:top w:val="none" w:sz="0" w:space="0" w:color="auto"/>
        <w:left w:val="none" w:sz="0" w:space="0" w:color="auto"/>
        <w:bottom w:val="none" w:sz="0" w:space="0" w:color="auto"/>
        <w:right w:val="none" w:sz="0" w:space="0" w:color="auto"/>
      </w:divBdr>
    </w:div>
    <w:div w:id="695817004">
      <w:bodyDiv w:val="1"/>
      <w:marLeft w:val="0"/>
      <w:marRight w:val="0"/>
      <w:marTop w:val="0"/>
      <w:marBottom w:val="0"/>
      <w:divBdr>
        <w:top w:val="none" w:sz="0" w:space="0" w:color="auto"/>
        <w:left w:val="none" w:sz="0" w:space="0" w:color="auto"/>
        <w:bottom w:val="none" w:sz="0" w:space="0" w:color="auto"/>
        <w:right w:val="none" w:sz="0" w:space="0" w:color="auto"/>
      </w:divBdr>
    </w:div>
    <w:div w:id="757017752">
      <w:bodyDiv w:val="1"/>
      <w:marLeft w:val="0"/>
      <w:marRight w:val="0"/>
      <w:marTop w:val="0"/>
      <w:marBottom w:val="0"/>
      <w:divBdr>
        <w:top w:val="none" w:sz="0" w:space="0" w:color="auto"/>
        <w:left w:val="none" w:sz="0" w:space="0" w:color="auto"/>
        <w:bottom w:val="none" w:sz="0" w:space="0" w:color="auto"/>
        <w:right w:val="none" w:sz="0" w:space="0" w:color="auto"/>
      </w:divBdr>
    </w:div>
    <w:div w:id="1095445872">
      <w:bodyDiv w:val="1"/>
      <w:marLeft w:val="0"/>
      <w:marRight w:val="0"/>
      <w:marTop w:val="0"/>
      <w:marBottom w:val="0"/>
      <w:divBdr>
        <w:top w:val="none" w:sz="0" w:space="0" w:color="auto"/>
        <w:left w:val="none" w:sz="0" w:space="0" w:color="auto"/>
        <w:bottom w:val="none" w:sz="0" w:space="0" w:color="auto"/>
        <w:right w:val="none" w:sz="0" w:space="0" w:color="auto"/>
      </w:divBdr>
    </w:div>
    <w:div w:id="1237403418">
      <w:bodyDiv w:val="1"/>
      <w:marLeft w:val="0"/>
      <w:marRight w:val="0"/>
      <w:marTop w:val="0"/>
      <w:marBottom w:val="0"/>
      <w:divBdr>
        <w:top w:val="none" w:sz="0" w:space="0" w:color="auto"/>
        <w:left w:val="none" w:sz="0" w:space="0" w:color="auto"/>
        <w:bottom w:val="none" w:sz="0" w:space="0" w:color="auto"/>
        <w:right w:val="none" w:sz="0" w:space="0" w:color="auto"/>
      </w:divBdr>
    </w:div>
    <w:div w:id="1520242932">
      <w:bodyDiv w:val="1"/>
      <w:marLeft w:val="0"/>
      <w:marRight w:val="0"/>
      <w:marTop w:val="0"/>
      <w:marBottom w:val="0"/>
      <w:divBdr>
        <w:top w:val="none" w:sz="0" w:space="0" w:color="auto"/>
        <w:left w:val="none" w:sz="0" w:space="0" w:color="auto"/>
        <w:bottom w:val="none" w:sz="0" w:space="0" w:color="auto"/>
        <w:right w:val="none" w:sz="0" w:space="0" w:color="auto"/>
      </w:divBdr>
    </w:div>
    <w:div w:id="1589734998">
      <w:bodyDiv w:val="1"/>
      <w:marLeft w:val="0"/>
      <w:marRight w:val="0"/>
      <w:marTop w:val="0"/>
      <w:marBottom w:val="0"/>
      <w:divBdr>
        <w:top w:val="none" w:sz="0" w:space="0" w:color="auto"/>
        <w:left w:val="none" w:sz="0" w:space="0" w:color="auto"/>
        <w:bottom w:val="none" w:sz="0" w:space="0" w:color="auto"/>
        <w:right w:val="none" w:sz="0" w:space="0" w:color="auto"/>
      </w:divBdr>
    </w:div>
    <w:div w:id="1891989602">
      <w:bodyDiv w:val="1"/>
      <w:marLeft w:val="0"/>
      <w:marRight w:val="0"/>
      <w:marTop w:val="0"/>
      <w:marBottom w:val="0"/>
      <w:divBdr>
        <w:top w:val="none" w:sz="0" w:space="0" w:color="auto"/>
        <w:left w:val="none" w:sz="0" w:space="0" w:color="auto"/>
        <w:bottom w:val="none" w:sz="0" w:space="0" w:color="auto"/>
        <w:right w:val="none" w:sz="0" w:space="0" w:color="auto"/>
      </w:divBdr>
    </w:div>
    <w:div w:id="195305474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image" Target="media/image8.png"/><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https://doi.org/10.1016/S0140-6736(11)60889-1" TargetMode="Externa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hyperlink" Target="https://doi.org/10.1016/S0140-6736(16)31389-7" TargetMode="Externa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image" Target="media/image1.jpeg"/><Relationship Id="rId24" Type="http://schemas.openxmlformats.org/officeDocument/2006/relationships/header" Target="header2.xml"/><Relationship Id="rId32" Type="http://schemas.microsoft.com/office/2016/09/relationships/commentsIds" Target="commentsIds.xml"/><Relationship Id="rId5" Type="http://schemas.openxmlformats.org/officeDocument/2006/relationships/styles" Target="styles.xml"/><Relationship Id="rId15" Type="http://schemas.openxmlformats.org/officeDocument/2006/relationships/image" Target="media/image5.jpeg"/><Relationship Id="rId23"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image" Target="media/image9.png"/><Relationship Id="rId31" Type="http://schemas.microsoft.com/office/2018/08/relationships/commentsExtensible" Target="commentsExtensible.xml"/><Relationship Id="rId4" Type="http://schemas.openxmlformats.org/officeDocument/2006/relationships/numbering" Target="numbering.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header" Target="header1.xml"/><Relationship Id="rId27" Type="http://schemas.openxmlformats.org/officeDocument/2006/relationships/theme" Target="theme/theme1.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12" Type="http://schemas.openxmlformats.org/officeDocument/2006/relationships/font" Target="fonts/font12.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_rels/footnotes.xml.rels><?xml version="1.0" encoding="UTF-8" standalone="yes"?>
<Relationships xmlns="http://schemas.openxmlformats.org/package/2006/relationships"><Relationship Id="rId3" Type="http://schemas.openxmlformats.org/officeDocument/2006/relationships/hyperlink" Target="https://www.unicef.org/mozambique/media/4961/file/A%20Situa%C3%A7%C3%A3o%20das%20Crian%C3%A7as%20em%20Mo%C3%A7ambique%202021%20Relat%C3%B3rio%20Completo.pdf" TargetMode="External"/><Relationship Id="rId2" Type="http://schemas.openxmlformats.org/officeDocument/2006/relationships/hyperlink" Target="https://www.unicef.org/mozambique/nutri%C3%A7%C3%A3o" TargetMode="External"/><Relationship Id="rId1" Type="http://schemas.openxmlformats.org/officeDocument/2006/relationships/hyperlink" Target="https://issuu.com/esepfpaulafrassinetti/docs/livro_tchovar/s/1233143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A5343C37BBA6846B151A5CE040EC75B" ma:contentTypeVersion="18" ma:contentTypeDescription="Create a new document." ma:contentTypeScope="" ma:versionID="676d55000978a434c57df5ad25604209">
  <xsd:schema xmlns:xsd="http://www.w3.org/2001/XMLSchema" xmlns:xs="http://www.w3.org/2001/XMLSchema" xmlns:p="http://schemas.microsoft.com/office/2006/metadata/properties" xmlns:ns2="a94317d1-7735-4764-aebf-d8d653084f90" xmlns:ns3="65921807-fe04-402a-8294-ae4dc0ad0744" targetNamespace="http://schemas.microsoft.com/office/2006/metadata/properties" ma:root="true" ma:fieldsID="3ea7ba85aa3836c1822fe9b9b63d2209" ns2:_="" ns3:_="">
    <xsd:import namespace="a94317d1-7735-4764-aebf-d8d653084f90"/>
    <xsd:import namespace="65921807-fe04-402a-8294-ae4dc0ad0744"/>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Location" minOccurs="0"/>
                <xsd:element ref="ns3:MediaServiceGenerationTime" minOccurs="0"/>
                <xsd:element ref="ns3:MediaServiceEventHashCode" minOccurs="0"/>
                <xsd:element ref="ns3:MediaServiceOCR" minOccurs="0"/>
                <xsd:element ref="ns3:MediaLengthInSeconds" minOccurs="0"/>
                <xsd:element ref="ns3:lcf76f155ced4ddcb4097134ff3c332f" minOccurs="0"/>
                <xsd:element ref="ns2: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94317d1-7735-4764-aebf-d8d653084f90"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e014821f-f43f-47df-a52a-72234601d41d}" ma:internalName="TaxCatchAll" ma:showField="CatchAllData" ma:web="a94317d1-7735-4764-aebf-d8d653084f90">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65921807-fe04-402a-8294-ae4dc0ad0744"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53347d0-8fd2-43fa-97dd-636ffc3809a7"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EB6F268-0A06-4D26-8B61-D961D2BBE0C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94317d1-7735-4764-aebf-d8d653084f90"/>
    <ds:schemaRef ds:uri="65921807-fe04-402a-8294-ae4dc0ad074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1D1D5B5-8E87-43FE-93B4-43EB403004AB}">
  <ds:schemaRefs>
    <ds:schemaRef ds:uri="http://schemas.microsoft.com/sharepoint/v3/contenttype/forms"/>
  </ds:schemaRefs>
</ds:datastoreItem>
</file>

<file path=customXml/itemProps3.xml><?xml version="1.0" encoding="utf-8"?>
<ds:datastoreItem xmlns:ds="http://schemas.openxmlformats.org/officeDocument/2006/customXml" ds:itemID="{19557AFC-EE7C-4D15-AA17-521BE60130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22</Pages>
  <Words>6051</Words>
  <Characters>34497</Characters>
  <Application>Microsoft Office Word</Application>
  <DocSecurity>0</DocSecurity>
  <Lines>287</Lines>
  <Paragraphs>80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40468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Sidonio Tembe</dc:creator>
  <cp:lastModifiedBy>User</cp:lastModifiedBy>
  <cp:revision>2</cp:revision>
  <cp:lastPrinted>2024-09-23T12:45:00Z</cp:lastPrinted>
  <dcterms:created xsi:type="dcterms:W3CDTF">2026-06-23T14:15:00Z</dcterms:created>
  <dcterms:modified xsi:type="dcterms:W3CDTF">2026-06-23T14:15:00Z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ssetID">
    <vt:lpwstr>TF10002003</vt:lpwstr>
  </property>
</Properties>
</file>