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A2066CF" w14:textId="559F4D60" w:rsidR="00803BDF" w:rsidRPr="00163896" w:rsidRDefault="008A287D" w:rsidP="00C46AB6">
      <w:pPr>
        <w:spacing w:before="100" w:beforeAutospacing="1" w:after="100" w:afterAutospacing="1"/>
        <w:jc w:val="both"/>
        <w:outlineLvl w:val="0"/>
        <w:rPr>
          <w:rFonts w:ascii="Times New Roman" w:eastAsia="Times New Roman" w:hAnsi="Times New Roman" w:cs="Times New Roman"/>
          <w:b/>
          <w:bCs/>
          <w:kern w:val="36"/>
          <w:lang w:val="pt-PT" w:eastAsia="pt-PT"/>
        </w:rPr>
      </w:pPr>
      <w:bookmarkStart w:id="0" w:name="_GoBack"/>
      <w:bookmarkEnd w:id="0"/>
      <w:r w:rsidRPr="00163896">
        <w:rPr>
          <w:rFonts w:ascii="Times New Roman" w:eastAsia="Times New Roman" w:hAnsi="Times New Roman" w:cs="Times New Roman"/>
          <w:b/>
          <w:bCs/>
          <w:kern w:val="36"/>
          <w:lang w:val="pt-PT" w:eastAsia="pt-PT"/>
        </w:rPr>
        <w:t xml:space="preserve">1. </w:t>
      </w:r>
      <w:r w:rsidR="00803BDF" w:rsidRPr="00163896">
        <w:rPr>
          <w:rFonts w:ascii="Times New Roman" w:eastAsia="Times New Roman" w:hAnsi="Times New Roman" w:cs="Times New Roman"/>
          <w:b/>
          <w:bCs/>
          <w:kern w:val="36"/>
          <w:lang w:val="pt-PT" w:eastAsia="pt-PT"/>
        </w:rPr>
        <w:t>SUMÁRIO EXECUTIVO</w:t>
      </w:r>
    </w:p>
    <w:p w14:paraId="48150A1C" w14:textId="77777777" w:rsidR="00803BDF" w:rsidRPr="00163896" w:rsidRDefault="00803BDF" w:rsidP="00C46AB6">
      <w:p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A Educação Pré-Escolar (EPE) é reconhecida internacionalmente como um dos investimentos mais eficazes para promover o desenvolvimento integral da criança, reduzir desigualdades sociais e melhorar os resultados educativos ao longo da vida. Nas últimas décadas, instrumentos internacionais como a Convenção sobre os Direitos da Criança, os Objectivos de Desenvolvimento Sustentável (ODS 4.2), a Agenda 2063 da União Africana e o Nurturing Care Framework reforçaram a centralidade da primeira infância nas políticas públicas de desenvolvimento.</w:t>
      </w:r>
    </w:p>
    <w:p w14:paraId="6A31B833" w14:textId="77777777" w:rsidR="00803BDF" w:rsidRPr="00163896" w:rsidRDefault="00803BDF" w:rsidP="00C46AB6">
      <w:p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O presente estudo analisa as políticas de Educação Pré-Escolar em Moçambique, examinando o seu enquadramento normativo, o alinhamento com as orientações globais sobre Desenvolvimento da Primeira Infância e os desafios relacionados com a expansão do acesso das crianças dos 0 aos 6 anos aos serviços educativos. A investigação foi motivada pela constatação de um aparente paradoxo: embora o país tenha registado avanços importantes na formalização do subsistema de Educação Pré-Escolar, na elaboração de instrumentos estratégicos e na implementação de programas apoiados por parceiros de cooperação, os níveis de acesso permanecem extremamente reduzidos e evidenciam progressos limitados.</w:t>
      </w:r>
    </w:p>
    <w:p w14:paraId="1074692D" w14:textId="77777777" w:rsidR="00803BDF" w:rsidRPr="00163896" w:rsidRDefault="00803BDF" w:rsidP="00C46AB6">
      <w:p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A pesquisa adoptou uma abordagem qualitativa, de natureza descritiva e analítica, combinando análise documental, entrevistas semiestruturadas e grupos focais realizados nos distritos de Boane, Macia e Chibuto. A análise incidiu sobre documentos legais, estratégicos e programáticos relacionados com a primeira infância, bem como sobre as percepções de decisores políticos, técnicos governamentais, organizações da sociedade civil, parceiros de desenvolvimento, líderes comunitários e encarregados de educação.</w:t>
      </w:r>
    </w:p>
    <w:p w14:paraId="5CF3A55C" w14:textId="77777777" w:rsidR="00803BDF" w:rsidRPr="00163896" w:rsidRDefault="00803BDF" w:rsidP="00C46AB6">
      <w:p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Os resultados revelam que Moçambique dispõe de um quadro regulatório relativamente abrangente para a primeira infância, constituído por dispositivos constitucionais, legislação sectorial, planos estratégicos e instrumentos de desenvolvimento social. Contudo, verificou-se que este quadro permanece fragmentado e disperso, não existindo uma política nacional específica de Educação Pré-Escolar que defina claramente objectivos, responsabilidades institucionais, mecanismos de financiamento e estratégias de expansão. A investigação identificou igualmente fragilidades na coordenação interinstitucional, insuficiência de financiamento público, forte dependência de projectos financiados externamente e limitações na sustentabilidade dos modelos comunitários de provisão dos serviços.</w:t>
      </w:r>
    </w:p>
    <w:p w14:paraId="0A1B953D" w14:textId="77777777" w:rsidR="00803BDF" w:rsidRPr="00163896" w:rsidRDefault="00803BDF" w:rsidP="00C46AB6">
      <w:p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Conclui-se que os principais constrangimentos ao acesso não decorrem apenas da insuficiência de recursos, mas também de desafios relacionados com a governação do sector, a operacionalização das políticas e a ausência de mecanismos consistentes de implementação e monitoria. O estudo recomenda a formulação de uma política nacional específica para a Educação Pré-Escolar, o reforço do investimento público, a institucionalização de modelos sustentáveis de provisão, a valorização dos educadores de infância e o fortalecimento dos sistemas de informação e monitoria. Estas medidas são consideradas essenciais para garantir uma expansão sustentável, inclusiva e equitativa da Educação Pré-Escolar em Moçambique.</w:t>
      </w:r>
    </w:p>
    <w:p w14:paraId="218F193D" w14:textId="77777777" w:rsidR="00803BDF" w:rsidRPr="00163896" w:rsidRDefault="00803BDF" w:rsidP="00C46AB6">
      <w:pPr>
        <w:jc w:val="both"/>
        <w:rPr>
          <w:rFonts w:ascii="Times New Roman" w:eastAsia="Times New Roman" w:hAnsi="Times New Roman" w:cs="Times New Roman"/>
          <w:b/>
          <w:bCs/>
          <w:kern w:val="36"/>
          <w:lang w:val="pt-PT" w:eastAsia="pt-PT"/>
        </w:rPr>
      </w:pPr>
      <w:r w:rsidRPr="00163896">
        <w:rPr>
          <w:rFonts w:ascii="Times New Roman" w:eastAsia="Times New Roman" w:hAnsi="Times New Roman" w:cs="Times New Roman"/>
          <w:b/>
          <w:bCs/>
          <w:kern w:val="36"/>
          <w:lang w:val="pt-PT" w:eastAsia="pt-PT"/>
        </w:rPr>
        <w:br w:type="page"/>
      </w:r>
    </w:p>
    <w:p w14:paraId="5F38FE54" w14:textId="22B98652" w:rsidR="00803BDF" w:rsidRPr="00163896" w:rsidRDefault="008A287D" w:rsidP="00C46AB6">
      <w:pPr>
        <w:spacing w:before="100" w:beforeAutospacing="1" w:after="100" w:afterAutospacing="1"/>
        <w:jc w:val="both"/>
        <w:outlineLvl w:val="0"/>
        <w:rPr>
          <w:rFonts w:ascii="Times New Roman" w:eastAsia="Times New Roman" w:hAnsi="Times New Roman" w:cs="Times New Roman"/>
          <w:b/>
          <w:bCs/>
          <w:kern w:val="36"/>
          <w:lang w:val="pt-PT" w:eastAsia="pt-PT"/>
        </w:rPr>
      </w:pPr>
      <w:r w:rsidRPr="00163896">
        <w:rPr>
          <w:rFonts w:ascii="Times New Roman" w:eastAsia="Times New Roman" w:hAnsi="Times New Roman" w:cs="Times New Roman"/>
          <w:b/>
          <w:bCs/>
          <w:kern w:val="36"/>
          <w:lang w:val="pt-PT" w:eastAsia="pt-PT"/>
        </w:rPr>
        <w:lastRenderedPageBreak/>
        <w:t>2</w:t>
      </w:r>
      <w:r w:rsidR="00803BDF" w:rsidRPr="00163896">
        <w:rPr>
          <w:rFonts w:ascii="Times New Roman" w:eastAsia="Times New Roman" w:hAnsi="Times New Roman" w:cs="Times New Roman"/>
          <w:b/>
          <w:bCs/>
          <w:kern w:val="36"/>
          <w:lang w:val="pt-PT" w:eastAsia="pt-PT"/>
        </w:rPr>
        <w:t>. INTRODUÇÃO</w:t>
      </w:r>
    </w:p>
    <w:p w14:paraId="2881CD0F" w14:textId="77777777" w:rsidR="00803BDF" w:rsidRPr="00163896" w:rsidRDefault="00803BDF" w:rsidP="00C46AB6">
      <w:p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A crescente valorização da Educação na Primeira Infância resulta da consolidação de evidências científicas que demonstram a importância dos primeiros anos de vida para o desenvolvimento cognitivo, linguístico, socioemocional e físico das crianças. Estudos nas áreas da neurociência, economia da educação e desenvolvimento humano demonstram que as experiências vividas durante a primeira infância exercem influência decisiva sobre o percurso escolar, a produtividade futura e a inclusão social dos indivíduos (Heckman, 2006; Shonkoff &amp; Phillips, 2000). Neste contexto, a Educação Pré-Escolar passou a ser entendida não apenas como um mecanismo de preparação para a escolaridade formal, mas também como uma estratégia de promoção da equidade social e de desenvolvimento sustentável.</w:t>
      </w:r>
    </w:p>
    <w:p w14:paraId="16A48B8C" w14:textId="77777777" w:rsidR="00803BDF" w:rsidRPr="00163896" w:rsidRDefault="00803BDF" w:rsidP="00C46AB6">
      <w:p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Em resposta a este reconhecimento, organismos internacionais como a UNESCO, UNICEF, Banco Mundial e Organização Mundial da Saúde têm incentivado os Estados a expandirem os serviços de desenvolvimento e educação na primeira infância, integrando-os nas suas agendas de desenvolvimento. A meta 4.2 dos Objectivos de Desenvolvimento Sustentável estabelece, neste sentido, o compromisso de assegurar que todas as crianças tenham acesso a serviços de qualidade de desenvolvimento, cuidados e educação pré-escolar antes da entrada no ensino primário.</w:t>
      </w:r>
    </w:p>
    <w:p w14:paraId="418A3E32" w14:textId="77777777" w:rsidR="00803BDF" w:rsidRPr="00163896" w:rsidRDefault="00803BDF" w:rsidP="00C46AB6">
      <w:p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Em Moçambique, a primeira infância passou a ocupar maior destaque nas políticas públicas ao longo das últimas duas décadas. A integração da Educação Pré-Escolar no Sistema Nacional de Educação através da Lei n.º 18/2018, bem como a incorporação de metas relacionadas com a infância em diversos instrumentos estratégicos nacionais, demonstram um crescente reconhecimento político da importância desta etapa educativa. Paralelamente, diferentes programas implementados pelo Governo, organizações da sociedade civil e parceiros internacionais procuraram expandir a oferta de serviços educativos para crianças em idade pré-escolar.</w:t>
      </w:r>
    </w:p>
    <w:p w14:paraId="6F80D0D0" w14:textId="77777777" w:rsidR="00803BDF" w:rsidRPr="00163896" w:rsidRDefault="00803BDF" w:rsidP="00C46AB6">
      <w:p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Todavia, a evolução do quadro normativo e institucional não foi acompanhada por um crescimento proporcional do acesso aos serviços. Pelo contrário, evidências recentes indicam que a cobertura da Educação Pré-Escolar permanece extremamente reduzida e concentrada sobretudo em contextos urbanos, verificando-se importantes desigualdades territoriais e socioeconómicas. Esta situação sugere a existência de uma desconexão entre as intenções expressas nos documentos de política pública e os resultados alcançados na expansão efectiva das oportunidades educativas para as crianças moçambicanas.</w:t>
      </w:r>
    </w:p>
    <w:p w14:paraId="3BD7B4CC" w14:textId="77777777" w:rsidR="00803BDF" w:rsidRPr="00163896" w:rsidRDefault="00803BDF" w:rsidP="00C46AB6">
      <w:p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É precisamente nesta tensão entre ambição política e realidade de implementação que se situa a presente investigação. O estudo procura compreender de que forma as políticas públicas da Educação Pré-Escolar têm sido concebidas, operacionalizadas e traduzidas em oportunidades concretas de acesso, analisando simultaneamente a influência das orientações globais, os modelos de governação adoptados e os factores que condicionam a expansão sustentável dos serviços de educação na primeira infância em Moçambique.</w:t>
      </w:r>
    </w:p>
    <w:p w14:paraId="5AD29402" w14:textId="77777777" w:rsidR="00803BDF" w:rsidRPr="00163896" w:rsidRDefault="00803BDF" w:rsidP="00C46AB6">
      <w:pPr>
        <w:jc w:val="both"/>
        <w:rPr>
          <w:rFonts w:ascii="Times New Roman" w:eastAsia="Times New Roman" w:hAnsi="Times New Roman" w:cs="Times New Roman"/>
          <w:b/>
          <w:bCs/>
          <w:kern w:val="36"/>
          <w:lang w:val="pt-PT" w:eastAsia="pt-PT"/>
        </w:rPr>
      </w:pPr>
      <w:r w:rsidRPr="00163896">
        <w:rPr>
          <w:rFonts w:ascii="Times New Roman" w:eastAsia="Times New Roman" w:hAnsi="Times New Roman" w:cs="Times New Roman"/>
          <w:b/>
          <w:bCs/>
          <w:kern w:val="36"/>
          <w:lang w:val="pt-PT" w:eastAsia="pt-PT"/>
        </w:rPr>
        <w:br w:type="page"/>
      </w:r>
    </w:p>
    <w:p w14:paraId="5D3FCC0D" w14:textId="27EB6C8B" w:rsidR="00803BDF" w:rsidRPr="00163896" w:rsidRDefault="00325B23" w:rsidP="00C46AB6">
      <w:pPr>
        <w:spacing w:before="100" w:beforeAutospacing="1" w:after="100" w:afterAutospacing="1"/>
        <w:jc w:val="both"/>
        <w:outlineLvl w:val="0"/>
        <w:rPr>
          <w:rFonts w:ascii="Times New Roman" w:eastAsia="Times New Roman" w:hAnsi="Times New Roman" w:cs="Times New Roman"/>
          <w:b/>
          <w:bCs/>
          <w:kern w:val="36"/>
          <w:lang w:val="pt-PT" w:eastAsia="pt-PT"/>
        </w:rPr>
      </w:pPr>
      <w:r w:rsidRPr="00163896">
        <w:rPr>
          <w:rFonts w:ascii="Times New Roman" w:eastAsia="Times New Roman" w:hAnsi="Times New Roman" w:cs="Times New Roman"/>
          <w:b/>
          <w:bCs/>
          <w:kern w:val="36"/>
          <w:lang w:val="pt-PT" w:eastAsia="pt-PT"/>
        </w:rPr>
        <w:lastRenderedPageBreak/>
        <w:t>3.</w:t>
      </w:r>
      <w:r w:rsidR="00803BDF" w:rsidRPr="00163896">
        <w:rPr>
          <w:rFonts w:ascii="Times New Roman" w:eastAsia="Times New Roman" w:hAnsi="Times New Roman" w:cs="Times New Roman"/>
          <w:b/>
          <w:bCs/>
          <w:kern w:val="36"/>
          <w:lang w:val="pt-PT" w:eastAsia="pt-PT"/>
        </w:rPr>
        <w:t xml:space="preserve"> PROBLEMA DA PESQUISA, QUESTÕES E OBJECTIVOS</w:t>
      </w:r>
    </w:p>
    <w:p w14:paraId="12153427" w14:textId="77777777" w:rsidR="00DB45FF" w:rsidRPr="00163896" w:rsidRDefault="00DB45FF" w:rsidP="00C46AB6">
      <w:pPr>
        <w:pStyle w:val="NormalWeb"/>
        <w:jc w:val="both"/>
      </w:pPr>
      <w:r w:rsidRPr="00163896">
        <w:t>Apesar do crescente reconhecimento internacional da importância da Educação Pré-Escolar para o desenvolvimento humano e da incorporação progressiva da primeira infância nas políticas públicas moçambicanas, os níveis de acesso das crianças aos serviços educativos destinados à faixa etária dos 0 aos 6 anos permanecem extremamente reduzidos. Esta situação torna-se particularmente relevante quando se considera que, ao longo das últimas duas décadas, o país aprovou novos instrumentos legais, definiu metas sectoriais para a primeira infância e beneficiou de diversos programas e investimentos promovidos pelo Estado e por parceiros de cooperação.</w:t>
      </w:r>
    </w:p>
    <w:p w14:paraId="527E6527" w14:textId="77777777" w:rsidR="00DB45FF" w:rsidRPr="00163896" w:rsidRDefault="00DB45FF" w:rsidP="00C46AB6">
      <w:pPr>
        <w:pStyle w:val="NormalWeb"/>
        <w:jc w:val="both"/>
      </w:pPr>
      <w:r w:rsidRPr="00163896">
        <w:t>Contrariamente ao que seria expectável, os avanços observados ao nível normativo e programático não parecem ter sido acompanhados por uma expansão proporcional do acesso à Educação Pré-Escolar. Dados disponíveis indicam que a cobertura deste subsistema permanece muito baixa e marcada por profundas desigualdades territoriais e socioeconómicas, afectando sobretudo as crianças residentes em zonas rurais e famílias em situação de vulnerabilidade social. Esta realidade suscita questionamentos sobre a adequação das estratégias adoptadas para promover a expansão dos serviços e sobre a capacidade das políticas existentes para responder aos desafios concretos da universalização do acesso.</w:t>
      </w:r>
    </w:p>
    <w:p w14:paraId="55FB70B8" w14:textId="77777777" w:rsidR="00DB45FF" w:rsidRPr="00163896" w:rsidRDefault="00DB45FF" w:rsidP="00C46AB6">
      <w:pPr>
        <w:pStyle w:val="NormalWeb"/>
        <w:jc w:val="both"/>
      </w:pPr>
      <w:r w:rsidRPr="00163896">
        <w:t>Paralelamente, a literatura disponível sobre Educação Pré-Escolar em Moçambique tem privilegiado a descrição de programas e iniciativas específicas, permanecendo relativamente limitada a produção de conhecimento sobre a relação entre o quadro normativo, os modelos de implementação das políticas e os resultados efectivamente alcançados em termos de acesso. Existe, por conseguinte, a necessidade de compreender de forma mais aprofundada como as orientações globais sobre Desenvolvimento da Primeira Infância são incorporadas nas políticas nacionais e de que forma estas políticas se traduzem em oportunidades concretas de acesso para as crianças moçambicanas.</w:t>
      </w:r>
    </w:p>
    <w:p w14:paraId="2A201DBC" w14:textId="77777777" w:rsidR="00DB45FF" w:rsidRPr="00163896" w:rsidRDefault="00DB45FF" w:rsidP="00C46AB6">
      <w:pPr>
        <w:pStyle w:val="NormalWeb"/>
        <w:jc w:val="both"/>
      </w:pPr>
      <w:r w:rsidRPr="00163896">
        <w:t>Deste modo, o problema central da presente investigação consiste em compreender por que razão os avanços registados no plano político, normativo e programático da Educação Pré-Escolar em Moçambique não se reflectiram numa expansão significativa e sustentável do acesso das crianças aos serviços educativos da primeira infância.</w:t>
      </w:r>
    </w:p>
    <w:p w14:paraId="50580F25" w14:textId="77777777" w:rsidR="00803BDF" w:rsidRPr="00163896" w:rsidRDefault="00803BDF" w:rsidP="00C46AB6">
      <w:pPr>
        <w:spacing w:before="100" w:beforeAutospacing="1" w:after="100" w:afterAutospacing="1"/>
        <w:jc w:val="both"/>
        <w:outlineLvl w:val="1"/>
        <w:rPr>
          <w:rFonts w:ascii="Times New Roman" w:eastAsia="Times New Roman" w:hAnsi="Times New Roman" w:cs="Times New Roman"/>
          <w:b/>
          <w:bCs/>
          <w:lang w:val="pt-PT" w:eastAsia="pt-PT"/>
        </w:rPr>
      </w:pPr>
      <w:r w:rsidRPr="00163896">
        <w:rPr>
          <w:rFonts w:ascii="Times New Roman" w:eastAsia="Times New Roman" w:hAnsi="Times New Roman" w:cs="Times New Roman"/>
          <w:b/>
          <w:bCs/>
          <w:lang w:val="pt-PT" w:eastAsia="pt-PT"/>
        </w:rPr>
        <w:t>Questões de Investigação</w:t>
      </w:r>
    </w:p>
    <w:p w14:paraId="5D49F0B5" w14:textId="77777777" w:rsidR="00803BDF" w:rsidRPr="00163896" w:rsidRDefault="00803BDF" w:rsidP="00C46AB6">
      <w:pPr>
        <w:numPr>
          <w:ilvl w:val="0"/>
          <w:numId w:val="11"/>
        </w:num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Como se encontra estruturado o quadro político, legal e institucional que orienta a Educação Pré-Escolar em Moçambique?</w:t>
      </w:r>
    </w:p>
    <w:p w14:paraId="78A429AA" w14:textId="77777777" w:rsidR="00803BDF" w:rsidRPr="00163896" w:rsidRDefault="00803BDF" w:rsidP="00C46AB6">
      <w:pPr>
        <w:numPr>
          <w:ilvl w:val="0"/>
          <w:numId w:val="11"/>
        </w:num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Em que medida as políticas e estratégias nacionais incorporam os princípios e orientações internacionais sobre Desenvolvimento da Primeira Infância?</w:t>
      </w:r>
    </w:p>
    <w:p w14:paraId="4CDF5DC3" w14:textId="77777777" w:rsidR="00803BDF" w:rsidRPr="00163896" w:rsidRDefault="00803BDF" w:rsidP="00C46AB6">
      <w:pPr>
        <w:numPr>
          <w:ilvl w:val="0"/>
          <w:numId w:val="11"/>
        </w:num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Que mecanismos de governação, financiamento e implementação têm sido utilizados para promover o acesso à Educação Pré-Escolar?</w:t>
      </w:r>
    </w:p>
    <w:p w14:paraId="301CD72F" w14:textId="77777777" w:rsidR="00803BDF" w:rsidRPr="00163896" w:rsidRDefault="00803BDF" w:rsidP="00C46AB6">
      <w:pPr>
        <w:numPr>
          <w:ilvl w:val="0"/>
          <w:numId w:val="11"/>
        </w:num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Quais são os principais factores que explicam a persistência dos baixos níveis de acesso à Educação Pré-Escolar, apesar dos avanços normativos e programáticos observados nas últimas décadas?</w:t>
      </w:r>
    </w:p>
    <w:p w14:paraId="5D77FBA4" w14:textId="77777777" w:rsidR="00803BDF" w:rsidRPr="00163896" w:rsidRDefault="00803BDF" w:rsidP="00C46AB6">
      <w:pPr>
        <w:numPr>
          <w:ilvl w:val="0"/>
          <w:numId w:val="11"/>
        </w:num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Que orientações estratégicas podem contribuir para uma expansão sustentável, inclusiva e equitativa da Educação Pré-Escolar em Moçambique?</w:t>
      </w:r>
    </w:p>
    <w:p w14:paraId="59A1799F" w14:textId="77777777" w:rsidR="00442192" w:rsidRDefault="00442192" w:rsidP="00C46AB6">
      <w:pPr>
        <w:spacing w:before="100" w:beforeAutospacing="1" w:after="100" w:afterAutospacing="1"/>
        <w:jc w:val="both"/>
        <w:outlineLvl w:val="1"/>
        <w:rPr>
          <w:rFonts w:ascii="Times New Roman" w:eastAsia="Times New Roman" w:hAnsi="Times New Roman" w:cs="Times New Roman"/>
          <w:b/>
          <w:bCs/>
          <w:lang w:val="pt-PT" w:eastAsia="pt-PT"/>
        </w:rPr>
      </w:pPr>
    </w:p>
    <w:p w14:paraId="5EFDAD0D" w14:textId="7E4935CA" w:rsidR="00803BDF" w:rsidRPr="00163896" w:rsidRDefault="00803BDF" w:rsidP="00C46AB6">
      <w:pPr>
        <w:spacing w:before="100" w:beforeAutospacing="1" w:after="100" w:afterAutospacing="1"/>
        <w:jc w:val="both"/>
        <w:outlineLvl w:val="1"/>
        <w:rPr>
          <w:rFonts w:ascii="Times New Roman" w:eastAsia="Times New Roman" w:hAnsi="Times New Roman" w:cs="Times New Roman"/>
          <w:b/>
          <w:bCs/>
          <w:lang w:val="pt-PT" w:eastAsia="pt-PT"/>
        </w:rPr>
      </w:pPr>
      <w:r w:rsidRPr="00163896">
        <w:rPr>
          <w:rFonts w:ascii="Times New Roman" w:eastAsia="Times New Roman" w:hAnsi="Times New Roman" w:cs="Times New Roman"/>
          <w:b/>
          <w:bCs/>
          <w:lang w:val="pt-PT" w:eastAsia="pt-PT"/>
        </w:rPr>
        <w:lastRenderedPageBreak/>
        <w:t>Objectivo Geral</w:t>
      </w:r>
    </w:p>
    <w:p w14:paraId="44E4A9D5" w14:textId="77777777" w:rsidR="00803BDF" w:rsidRPr="00163896" w:rsidRDefault="00803BDF" w:rsidP="00C46AB6">
      <w:p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Analisar criticamente as políticas públicas de Educação Pré-Escolar em Moçambique, examinando a relação entre o quadro normativo, os mecanismos de implementação e os níveis de acesso observados, à luz das orientações globais sobre Desenvolvimento da Primeira Infância.</w:t>
      </w:r>
    </w:p>
    <w:p w14:paraId="13542F9E" w14:textId="77777777" w:rsidR="00803BDF" w:rsidRPr="00163896" w:rsidRDefault="00803BDF" w:rsidP="00C46AB6">
      <w:pPr>
        <w:spacing w:before="100" w:beforeAutospacing="1" w:after="100" w:afterAutospacing="1"/>
        <w:jc w:val="both"/>
        <w:outlineLvl w:val="1"/>
        <w:rPr>
          <w:rFonts w:ascii="Times New Roman" w:eastAsia="Times New Roman" w:hAnsi="Times New Roman" w:cs="Times New Roman"/>
          <w:b/>
          <w:bCs/>
          <w:lang w:val="pt-PT" w:eastAsia="pt-PT"/>
        </w:rPr>
      </w:pPr>
      <w:r w:rsidRPr="00163896">
        <w:rPr>
          <w:rFonts w:ascii="Times New Roman" w:eastAsia="Times New Roman" w:hAnsi="Times New Roman" w:cs="Times New Roman"/>
          <w:b/>
          <w:bCs/>
          <w:lang w:val="pt-PT" w:eastAsia="pt-PT"/>
        </w:rPr>
        <w:t>Objectivos Específicos</w:t>
      </w:r>
    </w:p>
    <w:p w14:paraId="1FB36EB5" w14:textId="77777777" w:rsidR="00803BDF" w:rsidRPr="00163896" w:rsidRDefault="00803BDF" w:rsidP="00C46AB6">
      <w:pPr>
        <w:numPr>
          <w:ilvl w:val="0"/>
          <w:numId w:val="12"/>
        </w:num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Mapear e analisar os principais instrumentos políticos, legais e estratégicos relacionados com a Educação Pré-Escolar em Moçambique.</w:t>
      </w:r>
    </w:p>
    <w:p w14:paraId="41AAD2F8" w14:textId="77777777" w:rsidR="00803BDF" w:rsidRPr="00163896" w:rsidRDefault="00803BDF" w:rsidP="00C46AB6">
      <w:pPr>
        <w:numPr>
          <w:ilvl w:val="0"/>
          <w:numId w:val="12"/>
        </w:num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Avaliar o alinhamento entre as políticas nacionais e os referenciais internacionais sobre Desenvolvimento da Primeira Infância.</w:t>
      </w:r>
    </w:p>
    <w:p w14:paraId="516C5D4B" w14:textId="77777777" w:rsidR="00803BDF" w:rsidRPr="00163896" w:rsidRDefault="00803BDF" w:rsidP="00C46AB6">
      <w:pPr>
        <w:numPr>
          <w:ilvl w:val="0"/>
          <w:numId w:val="12"/>
        </w:num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Examinar os modelos de governação, financiamento e provisão dos serviços de Educação Pré-Escolar adoptados pelo Estado e pelos seus parceiros.</w:t>
      </w:r>
    </w:p>
    <w:p w14:paraId="4543E0FC" w14:textId="77777777" w:rsidR="00803BDF" w:rsidRPr="00163896" w:rsidRDefault="00803BDF" w:rsidP="00C46AB6">
      <w:pPr>
        <w:numPr>
          <w:ilvl w:val="0"/>
          <w:numId w:val="12"/>
        </w:num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Identificar os factores institucionais, económicos, territoriais e sociais que condicionam a expansão do acesso à Educação Pré-Escolar.</w:t>
      </w:r>
    </w:p>
    <w:p w14:paraId="581AFC1C" w14:textId="77777777" w:rsidR="00803BDF" w:rsidRPr="00163896" w:rsidRDefault="00803BDF" w:rsidP="00C46AB6">
      <w:pPr>
        <w:numPr>
          <w:ilvl w:val="0"/>
          <w:numId w:val="12"/>
        </w:num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Propor elementos estratégicos para o fortalecimento das políticas públicas e para a ampliação sustentável do acesso à Educação Pré-Escolar no país.</w:t>
      </w:r>
    </w:p>
    <w:p w14:paraId="6B61C497" w14:textId="77777777" w:rsidR="008A287D" w:rsidRPr="00163896" w:rsidRDefault="008A287D" w:rsidP="00C46AB6">
      <w:pPr>
        <w:spacing w:before="100" w:beforeAutospacing="1" w:after="100" w:afterAutospacing="1"/>
        <w:jc w:val="both"/>
        <w:outlineLvl w:val="0"/>
        <w:rPr>
          <w:rFonts w:ascii="Times New Roman" w:eastAsia="Times New Roman" w:hAnsi="Times New Roman" w:cs="Times New Roman"/>
          <w:b/>
          <w:bCs/>
          <w:kern w:val="36"/>
          <w:lang w:val="pt-PT" w:eastAsia="pt-PT"/>
        </w:rPr>
      </w:pPr>
    </w:p>
    <w:p w14:paraId="25721DEE" w14:textId="49BBA897" w:rsidR="006A571D" w:rsidRPr="00163896" w:rsidRDefault="00325B23" w:rsidP="00C46AB6">
      <w:pPr>
        <w:spacing w:before="100" w:beforeAutospacing="1" w:after="100" w:afterAutospacing="1"/>
        <w:jc w:val="both"/>
        <w:outlineLvl w:val="0"/>
        <w:rPr>
          <w:rFonts w:ascii="Times New Roman" w:eastAsia="Times New Roman" w:hAnsi="Times New Roman" w:cs="Times New Roman"/>
          <w:b/>
          <w:bCs/>
          <w:kern w:val="36"/>
          <w:lang w:val="pt-PT" w:eastAsia="pt-PT"/>
        </w:rPr>
      </w:pPr>
      <w:r w:rsidRPr="00163896">
        <w:rPr>
          <w:rFonts w:ascii="Times New Roman" w:eastAsia="Times New Roman" w:hAnsi="Times New Roman" w:cs="Times New Roman"/>
          <w:b/>
          <w:bCs/>
          <w:kern w:val="36"/>
          <w:lang w:val="pt-PT" w:eastAsia="pt-PT"/>
        </w:rPr>
        <w:t>4</w:t>
      </w:r>
      <w:r w:rsidR="006A571D" w:rsidRPr="00163896">
        <w:rPr>
          <w:rFonts w:ascii="Times New Roman" w:eastAsia="Times New Roman" w:hAnsi="Times New Roman" w:cs="Times New Roman"/>
          <w:b/>
          <w:bCs/>
          <w:kern w:val="36"/>
          <w:lang w:val="pt-PT" w:eastAsia="pt-PT"/>
        </w:rPr>
        <w:t>. REVISÃO BIBLIOGRÁFICA</w:t>
      </w:r>
    </w:p>
    <w:p w14:paraId="25F2E91D" w14:textId="00946EB7" w:rsidR="006A571D" w:rsidRPr="00163896" w:rsidRDefault="00325B23" w:rsidP="00C46AB6">
      <w:pPr>
        <w:spacing w:before="100" w:beforeAutospacing="1" w:after="100" w:afterAutospacing="1"/>
        <w:jc w:val="both"/>
        <w:outlineLvl w:val="1"/>
        <w:rPr>
          <w:rFonts w:ascii="Times New Roman" w:eastAsia="Times New Roman" w:hAnsi="Times New Roman" w:cs="Times New Roman"/>
          <w:b/>
          <w:bCs/>
          <w:lang w:val="pt-PT" w:eastAsia="pt-PT"/>
        </w:rPr>
      </w:pPr>
      <w:r w:rsidRPr="00163896">
        <w:rPr>
          <w:rFonts w:ascii="Times New Roman" w:eastAsia="Times New Roman" w:hAnsi="Times New Roman" w:cs="Times New Roman"/>
          <w:b/>
          <w:bCs/>
          <w:lang w:val="pt-PT" w:eastAsia="pt-PT"/>
        </w:rPr>
        <w:t>4</w:t>
      </w:r>
      <w:r w:rsidR="006A571D" w:rsidRPr="00163896">
        <w:rPr>
          <w:rFonts w:ascii="Times New Roman" w:eastAsia="Times New Roman" w:hAnsi="Times New Roman" w:cs="Times New Roman"/>
          <w:b/>
          <w:bCs/>
          <w:lang w:val="pt-PT" w:eastAsia="pt-PT"/>
        </w:rPr>
        <w:t>.1 Desenvolvimento da Primeira Infância, Educação de Infância e Educação Pré-Escolar</w:t>
      </w:r>
    </w:p>
    <w:p w14:paraId="72E5B31B" w14:textId="77777777" w:rsidR="006A571D" w:rsidRPr="00163896" w:rsidRDefault="006A571D" w:rsidP="00C46AB6">
      <w:p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A crescente valorização da primeira infância nas agendas globais de desenvolvimento resulta da consolidação de evidências provenientes da neurociência, psicologia do desenvolvimento, economia da educação e ciências sociais, que demonstram a importância dos primeiros anos de vida para o desenvolvimento humano. O conceito de Desenvolvimento da Primeira Infância (DPI) refere-se ao processo multidimensional de crescimento e desenvolvimento da criança desde a gestação até aproximadamente aos oito anos de idade, abrangendo as dimensões física, cognitiva, linguística, emocional e social (Shonkoff &amp; Phillips, 2000; WHO, UNICEF &amp; World Bank, 2018).</w:t>
      </w:r>
    </w:p>
    <w:p w14:paraId="71150E23" w14:textId="77777777" w:rsidR="006A571D" w:rsidRPr="00163896" w:rsidRDefault="006A571D" w:rsidP="00C46AB6">
      <w:p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Contudo, autores africanos alertam para a necessidade de compreender o desenvolvimento infantil a partir dos contextos socioculturais em que as crianças vivem. Nsamenang (1992, 2008) argumenta que os modelos dominantes de desenvolvimento infantil foram largamente construídos a partir de experiências ocidentais, nem sempre reflectindo as formas de socialização, aprendizagem e participação infantil presentes nas sociedades africanas. Na mesma linha, Pence e Marfo (2008) defendem que as políticas e programas de primeira infância em África devem valorizar os conhecimentos locais, as estruturas familiares alargadas e os mecanismos comunitários de cuidado e educação das crianças.</w:t>
      </w:r>
    </w:p>
    <w:p w14:paraId="4FCC5451" w14:textId="77777777" w:rsidR="006A571D" w:rsidRPr="00163896" w:rsidRDefault="006A571D" w:rsidP="00C46AB6">
      <w:p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Embora frequentemente utilizados de forma indistinta, os conceitos de Desenvolvimento da Primeira Infância, Educação de Infância e Educação Pré-Escolar possuem significados distintos. O Desenvolvimento da Primeira Infância constitui um conceito abrangente que integra intervenções nos sectores da saúde, nutrição, educação, protecção social e cuidados infantis, visando assegurar o desenvolvimento integral da criança (WHO et al., 2018).</w:t>
      </w:r>
    </w:p>
    <w:p w14:paraId="6CCB8E26" w14:textId="77777777" w:rsidR="006A571D" w:rsidRPr="00163896" w:rsidRDefault="006A571D" w:rsidP="00C46AB6">
      <w:p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lastRenderedPageBreak/>
        <w:t>Por sua vez, a Educação de Infância refere-se ao conjunto de acções educativas intencionais destinadas a promover a aprendizagem e o desenvolvimento da criança nos seus primeiros anos de vida. Estas acções podem ocorrer em diferentes contextos, incluindo a família, a comunidade, os grupos de pares, organizações religiosas e programas comunitários. Nesta perspectiva, a educação da criança não se limita às instituições escolares, sendo fortemente influenciada pelos processos de socialização familiar e comunitária (Bronfenbrenner, 1996; Nsamenang, 2008).</w:t>
      </w:r>
    </w:p>
    <w:p w14:paraId="58194921" w14:textId="77777777" w:rsidR="006A571D" w:rsidRPr="00163896" w:rsidRDefault="006A571D" w:rsidP="00C46AB6">
      <w:p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Já a Educação Pré-Escolar corresponde à dimensão institucionalizada da Educação de Infância, sendo oferecida em creches, jardins-de-infância, centros infantis e outras instituições especificamente organizadas para proporcionar experiências educativas às crianças antes do ingresso no ensino primário. Trata-se de uma modalidade educativa formalmente regulada pelo Estado e integrada nos sistemas nacionais de educação. Esta distinção assume particular relevância para Moçambique, onde uma proporção significativa das experiências educativas das crianças continua a ocorrer em contextos familiares e comunitários, fora das instituições pré-escolares.</w:t>
      </w:r>
    </w:p>
    <w:p w14:paraId="485E274E" w14:textId="77777777" w:rsidR="00442192" w:rsidRDefault="00442192" w:rsidP="00C46AB6">
      <w:pPr>
        <w:spacing w:before="100" w:beforeAutospacing="1" w:after="100" w:afterAutospacing="1"/>
        <w:jc w:val="both"/>
        <w:outlineLvl w:val="1"/>
        <w:rPr>
          <w:rFonts w:ascii="Times New Roman" w:eastAsia="Times New Roman" w:hAnsi="Times New Roman" w:cs="Times New Roman"/>
          <w:b/>
          <w:bCs/>
          <w:lang w:val="pt-PT" w:eastAsia="pt-PT"/>
        </w:rPr>
      </w:pPr>
    </w:p>
    <w:p w14:paraId="5D17649B" w14:textId="22C3B0B0" w:rsidR="006A571D" w:rsidRPr="00163896" w:rsidRDefault="00325B23" w:rsidP="00C46AB6">
      <w:pPr>
        <w:spacing w:before="100" w:beforeAutospacing="1" w:after="100" w:afterAutospacing="1"/>
        <w:jc w:val="both"/>
        <w:outlineLvl w:val="1"/>
        <w:rPr>
          <w:rFonts w:ascii="Times New Roman" w:eastAsia="Times New Roman" w:hAnsi="Times New Roman" w:cs="Times New Roman"/>
          <w:b/>
          <w:bCs/>
          <w:lang w:val="pt-PT" w:eastAsia="pt-PT"/>
        </w:rPr>
      </w:pPr>
      <w:r w:rsidRPr="00163896">
        <w:rPr>
          <w:rFonts w:ascii="Times New Roman" w:eastAsia="Times New Roman" w:hAnsi="Times New Roman" w:cs="Times New Roman"/>
          <w:b/>
          <w:bCs/>
          <w:lang w:val="pt-PT" w:eastAsia="pt-PT"/>
        </w:rPr>
        <w:t>4</w:t>
      </w:r>
      <w:r w:rsidR="006A571D" w:rsidRPr="00163896">
        <w:rPr>
          <w:rFonts w:ascii="Times New Roman" w:eastAsia="Times New Roman" w:hAnsi="Times New Roman" w:cs="Times New Roman"/>
          <w:b/>
          <w:bCs/>
          <w:lang w:val="pt-PT" w:eastAsia="pt-PT"/>
        </w:rPr>
        <w:t>.2 Políticas Sociais e Educação na Primeira Infância</w:t>
      </w:r>
    </w:p>
    <w:p w14:paraId="657B848B" w14:textId="77777777" w:rsidR="006A571D" w:rsidRPr="00163896" w:rsidRDefault="006A571D" w:rsidP="00C46AB6">
      <w:p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As políticas sociais podem ser entendidas como o conjunto de intervenções promovidas pelo Estado com o objectivo de garantir direitos, reduzir desigualdades e promover o bem-estar da população (Titmuss, 1974; Esping-Andersen, 1990). No caso da primeira infância, estas políticas assumem particular importância por incidirem sobre uma fase da vida considerada crítica para a formação das capacidades humanas e para a redução das desigualdades sociais futuras (Heckman, 2006).</w:t>
      </w:r>
    </w:p>
    <w:p w14:paraId="4E98BA76" w14:textId="77777777" w:rsidR="006A571D" w:rsidRPr="00163896" w:rsidRDefault="006A571D" w:rsidP="00C46AB6">
      <w:p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A literatura internacional demonstra que investimentos realizados durante a primeira infância produzem benefícios duradouros em termos de aprendizagem, saúde, produtividade económica e inclusão social. No contexto africano, Marope e Kaga (2015) argumentam que as políticas de primeira infância constituem uma condição fundamental para o alcance dos objectivos de desenvolvimento sustentável e para a construção de sociedades mais equitativas.</w:t>
      </w:r>
    </w:p>
    <w:p w14:paraId="54362545" w14:textId="77777777" w:rsidR="006A571D" w:rsidRPr="00163896" w:rsidRDefault="006A571D" w:rsidP="00C46AB6">
      <w:p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As políticas dirigidas à infância apresentam uma especificidade própria, uma vez que os seus principais beneficiários não possuem capacidade plena para reivindicar directamente os seus direitos. Consequentemente, a protecção e promoção dos seus interesses dependem da acção coordenada do Estado, das famílias e das comunidades (Qvortrup et al., 1994; Sarmento, 2007). Neste sentido, a qualidade das políticas da primeira infância depende não apenas da disponibilidade de recursos financeiros, mas também da capacidade institucional para coordenar intervenções intersectoriais e assegurar a prestação de serviços acessíveis e inclusivos.</w:t>
      </w:r>
    </w:p>
    <w:p w14:paraId="04009EBB" w14:textId="77777777" w:rsidR="00442192" w:rsidRDefault="00442192" w:rsidP="00C46AB6">
      <w:pPr>
        <w:spacing w:before="100" w:beforeAutospacing="1" w:after="100" w:afterAutospacing="1"/>
        <w:jc w:val="both"/>
        <w:outlineLvl w:val="1"/>
        <w:rPr>
          <w:rFonts w:ascii="Times New Roman" w:eastAsia="Times New Roman" w:hAnsi="Times New Roman" w:cs="Times New Roman"/>
          <w:b/>
          <w:bCs/>
          <w:lang w:val="pt-PT" w:eastAsia="pt-PT"/>
        </w:rPr>
      </w:pPr>
    </w:p>
    <w:p w14:paraId="3C40B131" w14:textId="5F16AD3B" w:rsidR="006A571D" w:rsidRPr="00163896" w:rsidRDefault="00325B23" w:rsidP="00C46AB6">
      <w:pPr>
        <w:spacing w:before="100" w:beforeAutospacing="1" w:after="100" w:afterAutospacing="1"/>
        <w:jc w:val="both"/>
        <w:outlineLvl w:val="1"/>
        <w:rPr>
          <w:rFonts w:ascii="Times New Roman" w:eastAsia="Times New Roman" w:hAnsi="Times New Roman" w:cs="Times New Roman"/>
          <w:b/>
          <w:bCs/>
          <w:lang w:val="pt-PT" w:eastAsia="pt-PT"/>
        </w:rPr>
      </w:pPr>
      <w:r w:rsidRPr="00163896">
        <w:rPr>
          <w:rFonts w:ascii="Times New Roman" w:eastAsia="Times New Roman" w:hAnsi="Times New Roman" w:cs="Times New Roman"/>
          <w:b/>
          <w:bCs/>
          <w:lang w:val="pt-PT" w:eastAsia="pt-PT"/>
        </w:rPr>
        <w:t>4</w:t>
      </w:r>
      <w:r w:rsidR="006A571D" w:rsidRPr="00163896">
        <w:rPr>
          <w:rFonts w:ascii="Times New Roman" w:eastAsia="Times New Roman" w:hAnsi="Times New Roman" w:cs="Times New Roman"/>
          <w:b/>
          <w:bCs/>
          <w:lang w:val="pt-PT" w:eastAsia="pt-PT"/>
        </w:rPr>
        <w:t>.3 Políticas de Educação Pré-Escolar</w:t>
      </w:r>
    </w:p>
    <w:p w14:paraId="18DA7893" w14:textId="77777777" w:rsidR="006A571D" w:rsidRPr="00163896" w:rsidRDefault="006A571D" w:rsidP="00C46AB6">
      <w:p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 xml:space="preserve">As políticas de Educação Pré-Escolar compreendem o conjunto de orientações, normas, estratégias e instrumentos adoptados pelo Estado para regular, financiar, organizar e expandir os serviços educativos destinados às crianças antes do ingresso no ensino primário (Howlett &amp; </w:t>
      </w:r>
      <w:r w:rsidRPr="00163896">
        <w:rPr>
          <w:rFonts w:ascii="Times New Roman" w:eastAsia="Times New Roman" w:hAnsi="Times New Roman" w:cs="Times New Roman"/>
          <w:lang w:val="pt-PT" w:eastAsia="pt-PT"/>
        </w:rPr>
        <w:lastRenderedPageBreak/>
        <w:t>Ramesh, 2003). Estas políticas definem objectivos, responsabilidades institucionais, mecanismos de implementação, padrões de qualidade e sistemas de monitoria e avaliação.</w:t>
      </w:r>
    </w:p>
    <w:p w14:paraId="105055BB" w14:textId="77777777" w:rsidR="006A571D" w:rsidRPr="00163896" w:rsidRDefault="006A571D" w:rsidP="00C46AB6">
      <w:p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A literatura internacional evidencia que os sistemas de Educação Pré-Escolar mais eficazes tendem a combinar enquadramento legal consistente, financiamento público sustentável, formação adequada de educadores, coordenação intersectorial e mecanismos robustos de monitoria (UNESCO, 2021; OECD, 2017). Em contrapartida, sistemas marcados por fragmentação institucional, dependência excessiva de actores externos e financiamento insuficiente enfrentam maiores dificuldades para garantir acesso universal e equitativo.</w:t>
      </w:r>
    </w:p>
    <w:p w14:paraId="74F58E7E" w14:textId="77777777" w:rsidR="006A571D" w:rsidRPr="00163896" w:rsidRDefault="006A571D" w:rsidP="00C46AB6">
      <w:p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No contexto africano, estudos recentes mostram que, apesar do crescente reconhecimento político da importância da primeira infância, a Educação Pré-Escolar continua a receber uma proporção reduzida dos recursos públicos destinados à educação. Persistem igualmente desafios relacionados com a cobertura dos serviços, a qualidade pedagógica, a formação de educadores e a coordenação entre sectores governamentais (Marope &amp; Kaga, 2015; Mathematica, 2024).</w:t>
      </w:r>
    </w:p>
    <w:p w14:paraId="01A7B7FD" w14:textId="77777777" w:rsidR="00442192" w:rsidRDefault="00442192" w:rsidP="00C46AB6">
      <w:pPr>
        <w:spacing w:before="100" w:beforeAutospacing="1" w:after="100" w:afterAutospacing="1"/>
        <w:jc w:val="both"/>
        <w:outlineLvl w:val="1"/>
        <w:rPr>
          <w:rFonts w:ascii="Times New Roman" w:eastAsia="Times New Roman" w:hAnsi="Times New Roman" w:cs="Times New Roman"/>
          <w:b/>
          <w:bCs/>
          <w:lang w:val="pt-PT" w:eastAsia="pt-PT"/>
        </w:rPr>
      </w:pPr>
    </w:p>
    <w:p w14:paraId="0B687462" w14:textId="26D62DCC" w:rsidR="006A571D" w:rsidRPr="00163896" w:rsidRDefault="00325B23" w:rsidP="00C46AB6">
      <w:pPr>
        <w:spacing w:before="100" w:beforeAutospacing="1" w:after="100" w:afterAutospacing="1"/>
        <w:jc w:val="both"/>
        <w:outlineLvl w:val="1"/>
        <w:rPr>
          <w:rFonts w:ascii="Times New Roman" w:eastAsia="Times New Roman" w:hAnsi="Times New Roman" w:cs="Times New Roman"/>
          <w:b/>
          <w:bCs/>
          <w:lang w:val="pt-PT" w:eastAsia="pt-PT"/>
        </w:rPr>
      </w:pPr>
      <w:r w:rsidRPr="00163896">
        <w:rPr>
          <w:rFonts w:ascii="Times New Roman" w:eastAsia="Times New Roman" w:hAnsi="Times New Roman" w:cs="Times New Roman"/>
          <w:b/>
          <w:bCs/>
          <w:lang w:val="pt-PT" w:eastAsia="pt-PT"/>
        </w:rPr>
        <w:t>4</w:t>
      </w:r>
      <w:r w:rsidR="006A571D" w:rsidRPr="00163896">
        <w:rPr>
          <w:rFonts w:ascii="Times New Roman" w:eastAsia="Times New Roman" w:hAnsi="Times New Roman" w:cs="Times New Roman"/>
          <w:b/>
          <w:bCs/>
          <w:lang w:val="pt-PT" w:eastAsia="pt-PT"/>
        </w:rPr>
        <w:t>.4 A Análise das Políticas Públicas segundo Howlett e Ramesh</w:t>
      </w:r>
    </w:p>
    <w:p w14:paraId="414589C6" w14:textId="77777777" w:rsidR="006A571D" w:rsidRPr="00163896" w:rsidRDefault="006A571D" w:rsidP="00C46AB6">
      <w:p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Para analisar as políticas de Educação Pré-Escolar em Moçambique, o presente estudo adopta como referência o modelo de análise de políticas públicas proposto por Howlett e Ramesh (2003). Segundo os autores, as políticas públicas constituem processos dinâmicos através dos quais os governos procuram responder a problemas colectivos mediante a definição de objectivos, a selecção de instrumentos de intervenção e a mobilização de recursos institucionais.</w:t>
      </w:r>
    </w:p>
    <w:p w14:paraId="23C35749" w14:textId="77777777" w:rsidR="006A571D" w:rsidRPr="00163896" w:rsidRDefault="006A571D" w:rsidP="00C46AB6">
      <w:p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Nesta perspectiva, uma política pública pode ser analisada a partir de cinco vectores fundamentais: (i) definição do problema público; (ii) formulação da política; (iii) instrumentos de intervenção; (iv) implementação; e (v) monitoria e avaliação (Howlett &amp; Ramesh, 2003). Estes elementos constituem o quadro analítico adoptado nesta investigação para examinar os documentos normativos relacionados com a Educação Pré-Escolar em Moçambique e avaliar a coerência entre os objectivos definidos, os mecanismos de implementação e os resultados pretendidos.</w:t>
      </w:r>
    </w:p>
    <w:p w14:paraId="29AD0796" w14:textId="77777777" w:rsidR="00442192" w:rsidRDefault="00442192" w:rsidP="00C46AB6">
      <w:pPr>
        <w:spacing w:before="100" w:beforeAutospacing="1" w:after="100" w:afterAutospacing="1"/>
        <w:jc w:val="both"/>
        <w:outlineLvl w:val="1"/>
        <w:rPr>
          <w:rFonts w:ascii="Times New Roman" w:eastAsia="Times New Roman" w:hAnsi="Times New Roman" w:cs="Times New Roman"/>
          <w:b/>
          <w:bCs/>
          <w:lang w:val="pt-PT" w:eastAsia="pt-PT"/>
        </w:rPr>
      </w:pPr>
    </w:p>
    <w:p w14:paraId="17F843A5" w14:textId="1A4A2653" w:rsidR="006A571D" w:rsidRPr="00163896" w:rsidRDefault="00325B23" w:rsidP="00C46AB6">
      <w:pPr>
        <w:spacing w:before="100" w:beforeAutospacing="1" w:after="100" w:afterAutospacing="1"/>
        <w:jc w:val="both"/>
        <w:outlineLvl w:val="1"/>
        <w:rPr>
          <w:rFonts w:ascii="Times New Roman" w:eastAsia="Times New Roman" w:hAnsi="Times New Roman" w:cs="Times New Roman"/>
          <w:b/>
          <w:bCs/>
          <w:lang w:val="pt-PT" w:eastAsia="pt-PT"/>
        </w:rPr>
      </w:pPr>
      <w:r w:rsidRPr="00163896">
        <w:rPr>
          <w:rFonts w:ascii="Times New Roman" w:eastAsia="Times New Roman" w:hAnsi="Times New Roman" w:cs="Times New Roman"/>
          <w:b/>
          <w:bCs/>
          <w:lang w:val="pt-PT" w:eastAsia="pt-PT"/>
        </w:rPr>
        <w:t>4</w:t>
      </w:r>
      <w:r w:rsidR="006A571D" w:rsidRPr="00163896">
        <w:rPr>
          <w:rFonts w:ascii="Times New Roman" w:eastAsia="Times New Roman" w:hAnsi="Times New Roman" w:cs="Times New Roman"/>
          <w:b/>
          <w:bCs/>
          <w:lang w:val="pt-PT" w:eastAsia="pt-PT"/>
        </w:rPr>
        <w:t>.5 Estado do Conhecimento sobre Políticas de Educação Pré-Escolar em Moçambique</w:t>
      </w:r>
    </w:p>
    <w:p w14:paraId="2A47C64B" w14:textId="77777777" w:rsidR="006A571D" w:rsidRPr="00163896" w:rsidRDefault="006A571D" w:rsidP="00C46AB6">
      <w:p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A produção científica sobre Educação Pré-Escolar em Moçambique permanece relativamente limitada quando comparada com outros níveis do sistema educativo. Um levantamento recente realizado por Rafael, Tembe e Gomundanhe (2025) identificou um número reduzido de teses, dissertações e artigos científicos especificamente dedicados à educação infantil no país, verificando que a maioria das pesquisas se concentra em temas relacionados com práticas pedagógicas, currículo, formação de educadores, literatura infantil e acesso à educação.</w:t>
      </w:r>
    </w:p>
    <w:p w14:paraId="1E8EEB50" w14:textId="77777777" w:rsidR="006A571D" w:rsidRPr="00163896" w:rsidRDefault="006A571D" w:rsidP="00C46AB6">
      <w:p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 xml:space="preserve">Por outro lado, permanecem escassos os estudos centrados na análise das políticas públicas, governação, financiamento, regulação e implementação das políticas de Educação Pré-Escolar. A literatura disponível privilegia frequentemente a descrição de programas e experiências específicas, dedicando menor atenção à análise das relações entre o quadro normativo, os </w:t>
      </w:r>
      <w:r w:rsidRPr="00163896">
        <w:rPr>
          <w:rFonts w:ascii="Times New Roman" w:eastAsia="Times New Roman" w:hAnsi="Times New Roman" w:cs="Times New Roman"/>
          <w:lang w:val="pt-PT" w:eastAsia="pt-PT"/>
        </w:rPr>
        <w:lastRenderedPageBreak/>
        <w:t>mecanismos de implementação e os resultados alcançados em termos de acesso e equidade (Rafael et al., 2025; Pinto, 2020).</w:t>
      </w:r>
    </w:p>
    <w:p w14:paraId="6BE61B26" w14:textId="77777777" w:rsidR="006A571D" w:rsidRPr="00163896" w:rsidRDefault="006A571D" w:rsidP="00C46AB6">
      <w:p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Esta lacuna é particularmente relevante num contexto em que Moçambique procura expandir o acesso à Educação Pré-Escolar e consolidar a primeira infância como prioridade nacional de desenvolvimento. Ao analisar simultaneamente os referenciais internacionais, o quadro normativo nacional e os mecanismos de implementação das políticas, o presente estudo procura contribuir para o aprofundamento do conhecimento científico sobre as políticas de Educação Pré-Escolar e para o fortalecimento do debate sobre o papel do Estado na garantia do direito à educação desde os primeiros anos de vida.</w:t>
      </w:r>
    </w:p>
    <w:p w14:paraId="6D13242C" w14:textId="44B35296" w:rsidR="00D32BE1" w:rsidRPr="00163896" w:rsidRDefault="00D32BE1" w:rsidP="00C46AB6">
      <w:pPr>
        <w:spacing w:after="3" w:line="261" w:lineRule="auto"/>
        <w:jc w:val="both"/>
        <w:rPr>
          <w:rFonts w:ascii="Times New Roman" w:eastAsia="Calibri" w:hAnsi="Times New Roman" w:cs="Times New Roman"/>
          <w:b/>
          <w:bCs/>
          <w:color w:val="000000"/>
          <w:kern w:val="2"/>
          <w:lang w:val="pt-PT" w:eastAsia="pt-PT"/>
        </w:rPr>
      </w:pPr>
    </w:p>
    <w:p w14:paraId="181FD6A9" w14:textId="01D01178" w:rsidR="00D16DC1" w:rsidRPr="00163896" w:rsidRDefault="00325B23" w:rsidP="00C46AB6">
      <w:pPr>
        <w:spacing w:after="3" w:line="261" w:lineRule="auto"/>
        <w:jc w:val="both"/>
        <w:rPr>
          <w:rFonts w:ascii="Times New Roman" w:eastAsia="Calibri" w:hAnsi="Times New Roman" w:cs="Times New Roman"/>
          <w:b/>
          <w:bCs/>
          <w:color w:val="000000"/>
          <w:kern w:val="2"/>
          <w:lang w:val="pt-PT" w:eastAsia="pt-PT"/>
        </w:rPr>
      </w:pPr>
      <w:r w:rsidRPr="00163896">
        <w:rPr>
          <w:rFonts w:ascii="Times New Roman" w:eastAsia="Calibri" w:hAnsi="Times New Roman" w:cs="Times New Roman"/>
          <w:b/>
          <w:bCs/>
          <w:color w:val="000000"/>
          <w:kern w:val="2"/>
          <w:lang w:val="pt-PT" w:eastAsia="pt-PT"/>
        </w:rPr>
        <w:t>5</w:t>
      </w:r>
      <w:r w:rsidR="009E2BAF" w:rsidRPr="00163896">
        <w:rPr>
          <w:rFonts w:ascii="Times New Roman" w:eastAsia="Calibri" w:hAnsi="Times New Roman" w:cs="Times New Roman"/>
          <w:b/>
          <w:bCs/>
          <w:color w:val="000000"/>
          <w:kern w:val="2"/>
          <w:lang w:val="pt-PT" w:eastAsia="pt-PT"/>
        </w:rPr>
        <w:t xml:space="preserve">. </w:t>
      </w:r>
      <w:r w:rsidR="007D38F1" w:rsidRPr="00163896">
        <w:rPr>
          <w:rFonts w:ascii="Times New Roman" w:eastAsia="Calibri" w:hAnsi="Times New Roman" w:cs="Times New Roman"/>
          <w:b/>
          <w:bCs/>
          <w:color w:val="000000"/>
          <w:kern w:val="2"/>
          <w:lang w:val="pt-PT" w:eastAsia="pt-PT"/>
        </w:rPr>
        <w:t xml:space="preserve">METODOLOGIA </w:t>
      </w:r>
    </w:p>
    <w:p w14:paraId="55C29654" w14:textId="77777777" w:rsidR="005E1D7C" w:rsidRPr="00163896" w:rsidRDefault="005E1D7C" w:rsidP="00C46AB6">
      <w:p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 xml:space="preserve">O presente estudo adoptou uma abordagem </w:t>
      </w:r>
      <w:r w:rsidRPr="00163896">
        <w:rPr>
          <w:rFonts w:ascii="Times New Roman" w:eastAsia="Times New Roman" w:hAnsi="Times New Roman" w:cs="Times New Roman"/>
          <w:b/>
          <w:bCs/>
          <w:lang w:val="pt-PT" w:eastAsia="pt-PT"/>
        </w:rPr>
        <w:t>qualitativa</w:t>
      </w:r>
      <w:r w:rsidRPr="00163896">
        <w:rPr>
          <w:rFonts w:ascii="Times New Roman" w:eastAsia="Times New Roman" w:hAnsi="Times New Roman" w:cs="Times New Roman"/>
          <w:lang w:val="pt-PT" w:eastAsia="pt-PT"/>
        </w:rPr>
        <w:t xml:space="preserve">, de natureza </w:t>
      </w:r>
      <w:r w:rsidRPr="00163896">
        <w:rPr>
          <w:rFonts w:ascii="Times New Roman" w:eastAsia="Times New Roman" w:hAnsi="Times New Roman" w:cs="Times New Roman"/>
          <w:b/>
          <w:bCs/>
          <w:lang w:val="pt-PT" w:eastAsia="pt-PT"/>
        </w:rPr>
        <w:t>descritiva e analítica</w:t>
      </w:r>
      <w:r w:rsidRPr="00163896">
        <w:rPr>
          <w:rFonts w:ascii="Times New Roman" w:eastAsia="Times New Roman" w:hAnsi="Times New Roman" w:cs="Times New Roman"/>
          <w:lang w:val="pt-PT" w:eastAsia="pt-PT"/>
        </w:rPr>
        <w:t xml:space="preserve">, orientada para a compreensão das políticas públicas de Educação Pré-Escolar (EPE) em Moçambique, dos seus processos de implementação e das condições de acesso das crianças aos serviços da primeira infância. A opção pela abordagem qualitativa fundamentou-se na necessidade de compreender percepções, experiências e interpretações dos diferentes actores envolvidos na formulação e implementação das políticas de Educação Pré-Escolar, bem como as dinâmicas institucionais e comunitárias que influenciam o acesso aos serviços. </w:t>
      </w:r>
    </w:p>
    <w:p w14:paraId="250DF2B4" w14:textId="77777777" w:rsidR="005E1D7C" w:rsidRPr="00163896" w:rsidRDefault="005E1D7C" w:rsidP="00C46AB6">
      <w:p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 xml:space="preserve">A investigação assumiu igualmente características de </w:t>
      </w:r>
      <w:r w:rsidRPr="00163896">
        <w:rPr>
          <w:rFonts w:ascii="Times New Roman" w:eastAsia="Times New Roman" w:hAnsi="Times New Roman" w:cs="Times New Roman"/>
          <w:b/>
          <w:bCs/>
          <w:lang w:val="pt-PT" w:eastAsia="pt-PT"/>
        </w:rPr>
        <w:t>estudo de casos múltiplos</w:t>
      </w:r>
      <w:r w:rsidRPr="00163896">
        <w:rPr>
          <w:rFonts w:ascii="Times New Roman" w:eastAsia="Times New Roman" w:hAnsi="Times New Roman" w:cs="Times New Roman"/>
          <w:lang w:val="pt-PT" w:eastAsia="pt-PT"/>
        </w:rPr>
        <w:t xml:space="preserve">, permitindo a análise comparativa de diferentes contextos locais de implementação das políticas da primeira infância. A análise foi estruturada em três níveis complementares: (i) as orientações globais sobre Desenvolvimento da Primeira Infância e Educação Pré-Escolar; (ii) as políticas e documentos normativos nacionais; e (iii) a implementação local dessas políticas e as condições efectivas de acesso das crianças aos serviços educativos. </w:t>
      </w:r>
    </w:p>
    <w:p w14:paraId="2324A33B" w14:textId="77777777" w:rsidR="005E1D7C" w:rsidRPr="00163896" w:rsidRDefault="005E1D7C" w:rsidP="00C46AB6">
      <w:p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 xml:space="preserve">O trabalho de campo foi realizado nos distritos de </w:t>
      </w:r>
      <w:r w:rsidRPr="00163896">
        <w:rPr>
          <w:rFonts w:ascii="Times New Roman" w:eastAsia="Times New Roman" w:hAnsi="Times New Roman" w:cs="Times New Roman"/>
          <w:b/>
          <w:bCs/>
          <w:lang w:val="pt-PT" w:eastAsia="pt-PT"/>
        </w:rPr>
        <w:t>Boane</w:t>
      </w:r>
      <w:r w:rsidRPr="00163896">
        <w:rPr>
          <w:rFonts w:ascii="Times New Roman" w:eastAsia="Times New Roman" w:hAnsi="Times New Roman" w:cs="Times New Roman"/>
          <w:lang w:val="pt-PT" w:eastAsia="pt-PT"/>
        </w:rPr>
        <w:t xml:space="preserve">, na Província de Maputo, e </w:t>
      </w:r>
      <w:r w:rsidRPr="00163896">
        <w:rPr>
          <w:rFonts w:ascii="Times New Roman" w:eastAsia="Times New Roman" w:hAnsi="Times New Roman" w:cs="Times New Roman"/>
          <w:b/>
          <w:bCs/>
          <w:lang w:val="pt-PT" w:eastAsia="pt-PT"/>
        </w:rPr>
        <w:t>Chibuto</w:t>
      </w:r>
      <w:r w:rsidRPr="00163896">
        <w:rPr>
          <w:rFonts w:ascii="Times New Roman" w:eastAsia="Times New Roman" w:hAnsi="Times New Roman" w:cs="Times New Roman"/>
          <w:lang w:val="pt-PT" w:eastAsia="pt-PT"/>
        </w:rPr>
        <w:t xml:space="preserve"> e </w:t>
      </w:r>
      <w:r w:rsidRPr="00163896">
        <w:rPr>
          <w:rFonts w:ascii="Times New Roman" w:eastAsia="Times New Roman" w:hAnsi="Times New Roman" w:cs="Times New Roman"/>
          <w:b/>
          <w:bCs/>
          <w:lang w:val="pt-PT" w:eastAsia="pt-PT"/>
        </w:rPr>
        <w:t>Macia</w:t>
      </w:r>
      <w:r w:rsidRPr="00163896">
        <w:rPr>
          <w:rFonts w:ascii="Times New Roman" w:eastAsia="Times New Roman" w:hAnsi="Times New Roman" w:cs="Times New Roman"/>
          <w:lang w:val="pt-PT" w:eastAsia="pt-PT"/>
        </w:rPr>
        <w:t xml:space="preserve">, na Província de Gaza. A selecção destes distritos teve como objectivo captar diferentes realidades de acesso à Educação Pré-Escolar, incluindo contextos beneficiados por programas específicos de apoio à primeira infância e contextos caracterizados por reduzida cobertura dos serviços. Em cada distrito foram seleccionadas duas comunidades, totalizando seis comunidades de estudo. </w:t>
      </w:r>
    </w:p>
    <w:p w14:paraId="4F96DEFB" w14:textId="77777777" w:rsidR="005E1D7C" w:rsidRPr="00163896" w:rsidRDefault="005E1D7C" w:rsidP="00C46AB6">
      <w:p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 xml:space="preserve">Participaram na pesquisa actores considerados estratégicos para a compreensão das políticas e práticas da Educação Pré-Escolar. Entre estes destacam-se técnicos dos sectores da educação e da acção social, representantes de organizações nacionais e internacionais envolvidas na primeira infância, líderes comunitários, pais e encarregados de educação. A selecção dos participantes foi realizada de forma intencional, considerando o seu envolvimento na formulação, implementação, gestão ou utilização dos serviços de Educação Pré-Escolar. </w:t>
      </w:r>
    </w:p>
    <w:p w14:paraId="69F52723" w14:textId="77777777" w:rsidR="005E1D7C" w:rsidRPr="00163896" w:rsidRDefault="005E1D7C" w:rsidP="00C46AB6">
      <w:p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 xml:space="preserve">A recolha de dados baseou-se em três técnicas principais. A primeira consistiu na realização de </w:t>
      </w:r>
      <w:r w:rsidRPr="00163896">
        <w:rPr>
          <w:rFonts w:ascii="Times New Roman" w:eastAsia="Times New Roman" w:hAnsi="Times New Roman" w:cs="Times New Roman"/>
          <w:b/>
          <w:bCs/>
          <w:lang w:val="pt-PT" w:eastAsia="pt-PT"/>
        </w:rPr>
        <w:t>entrevistas semiestruturadas</w:t>
      </w:r>
      <w:r w:rsidRPr="00163896">
        <w:rPr>
          <w:rFonts w:ascii="Times New Roman" w:eastAsia="Times New Roman" w:hAnsi="Times New Roman" w:cs="Times New Roman"/>
          <w:lang w:val="pt-PT" w:eastAsia="pt-PT"/>
        </w:rPr>
        <w:t xml:space="preserve"> junto de representantes governamentais, organizações parceiras e líderes comunitários, permitindo recolher informação sobre políticas, estratégias de implementação, desafios institucionais e condições de acesso à Educação Pré-Escolar. A segunda técnica correspondeu à realização de </w:t>
      </w:r>
      <w:r w:rsidRPr="00163896">
        <w:rPr>
          <w:rFonts w:ascii="Times New Roman" w:eastAsia="Times New Roman" w:hAnsi="Times New Roman" w:cs="Times New Roman"/>
          <w:b/>
          <w:bCs/>
          <w:lang w:val="pt-PT" w:eastAsia="pt-PT"/>
        </w:rPr>
        <w:t>grupos focais</w:t>
      </w:r>
      <w:r w:rsidRPr="00163896">
        <w:rPr>
          <w:rFonts w:ascii="Times New Roman" w:eastAsia="Times New Roman" w:hAnsi="Times New Roman" w:cs="Times New Roman"/>
          <w:lang w:val="pt-PT" w:eastAsia="pt-PT"/>
        </w:rPr>
        <w:t xml:space="preserve"> com pais e encarregados de educação, possibilitando a compreensão das percepções comunitárias sobre a importância da Educação Pré-</w:t>
      </w:r>
      <w:r w:rsidRPr="00163896">
        <w:rPr>
          <w:rFonts w:ascii="Times New Roman" w:eastAsia="Times New Roman" w:hAnsi="Times New Roman" w:cs="Times New Roman"/>
          <w:lang w:val="pt-PT" w:eastAsia="pt-PT"/>
        </w:rPr>
        <w:lastRenderedPageBreak/>
        <w:t xml:space="preserve">Escolar, as barreiras de acesso e as expectativas em relação aos serviços. A terceira técnica consistiu na </w:t>
      </w:r>
      <w:r w:rsidRPr="00163896">
        <w:rPr>
          <w:rFonts w:ascii="Times New Roman" w:eastAsia="Times New Roman" w:hAnsi="Times New Roman" w:cs="Times New Roman"/>
          <w:b/>
          <w:bCs/>
          <w:lang w:val="pt-PT" w:eastAsia="pt-PT"/>
        </w:rPr>
        <w:t>análise documental</w:t>
      </w:r>
      <w:r w:rsidRPr="00163896">
        <w:rPr>
          <w:rFonts w:ascii="Times New Roman" w:eastAsia="Times New Roman" w:hAnsi="Times New Roman" w:cs="Times New Roman"/>
          <w:lang w:val="pt-PT" w:eastAsia="pt-PT"/>
        </w:rPr>
        <w:t xml:space="preserve"> de instrumentos legais, estratégicos e programáticos nacionais e internacionais relacionados com a primeira infância, incluindo a Constituição da República de Moçambique, a Lei n.º 18/2018 do Sistema Nacional de Educação, o Plano Estratégico da Educação (2020–2029), o Plano Nacional de Acção para a Criança (PNAC III), a Estratégia Nacional de Desenvolvimento, o Regulamento dos Centros Infantis e documentos produzidos por organismos internacionais como a UNESCO, UNICEF, Banco Mundial e os Objectivos de Desenvolvimento Sustentável. </w:t>
      </w:r>
    </w:p>
    <w:p w14:paraId="7CEB4F64" w14:textId="77777777" w:rsidR="005E1D7C" w:rsidRPr="00163896" w:rsidRDefault="005E1D7C" w:rsidP="00C46AB6">
      <w:p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 xml:space="preserve">Os dados recolhidos foram analisados através da </w:t>
      </w:r>
      <w:r w:rsidRPr="00163896">
        <w:rPr>
          <w:rFonts w:ascii="Times New Roman" w:eastAsia="Times New Roman" w:hAnsi="Times New Roman" w:cs="Times New Roman"/>
          <w:b/>
          <w:bCs/>
          <w:lang w:val="pt-PT" w:eastAsia="pt-PT"/>
        </w:rPr>
        <w:t>análise temática de conteúdo</w:t>
      </w:r>
      <w:r w:rsidRPr="00163896">
        <w:rPr>
          <w:rFonts w:ascii="Times New Roman" w:eastAsia="Times New Roman" w:hAnsi="Times New Roman" w:cs="Times New Roman"/>
          <w:lang w:val="pt-PT" w:eastAsia="pt-PT"/>
        </w:rPr>
        <w:t xml:space="preserve">, seguindo as orientações de Bardin (2011). O processo incluiu a organização e transcrição do material empírico, leitura exploratória, definição de categorias analíticas, codificação e interpretação dos dados. As principais categorias de análise abrangeram percepções sobre a Educação Pré-Escolar, disponibilidade dos serviços, acesso e cobertura, desafios e barreiras, estratégias de implementação, participação comunitária e alinhamento entre políticas globais e nacionais. </w:t>
      </w:r>
    </w:p>
    <w:p w14:paraId="6A519BD2" w14:textId="77777777" w:rsidR="005E1D7C" w:rsidRPr="00163896" w:rsidRDefault="005E1D7C" w:rsidP="00C46AB6">
      <w:p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 xml:space="preserve">A investigação observou os princípios éticos aplicáveis à pesquisa social, garantindo a participação voluntária dos intervenientes, o consentimento informado, a confidencialidade das informações e o anonimato dos participantes. Para esse efeito, foram utilizados códigos de identificação em substituição dos nomes dos entrevistados e das comunidades. A recolha de dados decorreu entre </w:t>
      </w:r>
      <w:r w:rsidRPr="00163896">
        <w:rPr>
          <w:rFonts w:ascii="Times New Roman" w:eastAsia="Times New Roman" w:hAnsi="Times New Roman" w:cs="Times New Roman"/>
          <w:b/>
          <w:bCs/>
          <w:lang w:val="pt-PT" w:eastAsia="pt-PT"/>
        </w:rPr>
        <w:t>Dezembro de 2025 e Fevereiro de 2026</w:t>
      </w:r>
      <w:r w:rsidRPr="00163896">
        <w:rPr>
          <w:rFonts w:ascii="Times New Roman" w:eastAsia="Times New Roman" w:hAnsi="Times New Roman" w:cs="Times New Roman"/>
          <w:lang w:val="pt-PT" w:eastAsia="pt-PT"/>
        </w:rPr>
        <w:t xml:space="preserve">, permitindo a triangulação entre evidências documentais, percepções institucionais e experiências comunitárias, reforçando a credibilidade e a consistência dos resultados do estudo. </w:t>
      </w:r>
    </w:p>
    <w:p w14:paraId="61718F65" w14:textId="77777777" w:rsidR="00442192" w:rsidRDefault="00442192" w:rsidP="00C46AB6">
      <w:pPr>
        <w:spacing w:after="3" w:line="261" w:lineRule="auto"/>
        <w:jc w:val="both"/>
        <w:rPr>
          <w:rFonts w:ascii="Times New Roman" w:eastAsia="Calibri" w:hAnsi="Times New Roman" w:cs="Times New Roman"/>
          <w:b/>
          <w:bCs/>
          <w:color w:val="000000"/>
          <w:kern w:val="2"/>
          <w:lang w:val="pt-PT" w:eastAsia="pt-PT"/>
        </w:rPr>
      </w:pPr>
    </w:p>
    <w:p w14:paraId="187AE16C" w14:textId="6E08C4C4" w:rsidR="00D16DC1" w:rsidRPr="00163896" w:rsidRDefault="007D38F1" w:rsidP="00C46AB6">
      <w:pPr>
        <w:spacing w:after="3" w:line="261" w:lineRule="auto"/>
        <w:jc w:val="both"/>
        <w:rPr>
          <w:rFonts w:ascii="Times New Roman" w:eastAsia="Calibri" w:hAnsi="Times New Roman" w:cs="Times New Roman"/>
          <w:b/>
          <w:bCs/>
          <w:color w:val="000000"/>
          <w:kern w:val="2"/>
          <w:lang w:val="pt-PT" w:eastAsia="pt-PT"/>
        </w:rPr>
      </w:pPr>
      <w:r w:rsidRPr="00163896">
        <w:rPr>
          <w:rFonts w:ascii="Times New Roman" w:eastAsia="Calibri" w:hAnsi="Times New Roman" w:cs="Times New Roman"/>
          <w:b/>
          <w:bCs/>
          <w:color w:val="000000"/>
          <w:kern w:val="2"/>
          <w:lang w:val="pt-PT" w:eastAsia="pt-PT"/>
        </w:rPr>
        <w:t xml:space="preserve">6. RESULTADOS DA PESQUISA </w:t>
      </w:r>
    </w:p>
    <w:p w14:paraId="6C6C1E83" w14:textId="77777777" w:rsidR="009A6DE8" w:rsidRPr="00163896" w:rsidRDefault="009A6DE8" w:rsidP="00C46AB6">
      <w:pPr>
        <w:pStyle w:val="NormalWeb"/>
        <w:jc w:val="both"/>
      </w:pPr>
      <w:r w:rsidRPr="00163896">
        <w:t>A presente investigação teve como objectivo geral analisar as políticas públicas de Educação Pré-Escolar (EPE) em Moçambique, com enfoque no acesso, nos desafios de implementação e no alinhamento com as orientações globais sobre Desenvolvimento da Primeira Infância. Os resultados obtidos evidenciam que, apesar dos avanços registados ao nível normativo e institucional nas últimas duas décadas, o país continua a enfrentar limitações significativas na expansão do acesso à Educação Pré-Escolar, particularmente nas zonas rurais e entre os grupos socialmente mais vulneráveis.</w:t>
      </w:r>
    </w:p>
    <w:p w14:paraId="28B76051" w14:textId="77777777" w:rsidR="00442192" w:rsidRDefault="00442192" w:rsidP="00C46AB6">
      <w:pPr>
        <w:spacing w:before="100" w:beforeAutospacing="1" w:after="100" w:afterAutospacing="1"/>
        <w:jc w:val="both"/>
        <w:rPr>
          <w:rFonts w:ascii="Times New Roman" w:eastAsia="Times New Roman" w:hAnsi="Times New Roman" w:cs="Times New Roman"/>
          <w:b/>
          <w:bCs/>
          <w:lang w:val="pt-PT" w:eastAsia="pt-PT"/>
        </w:rPr>
      </w:pPr>
    </w:p>
    <w:p w14:paraId="358B1B7D" w14:textId="5C970568" w:rsidR="00805DA4" w:rsidRPr="00163896" w:rsidRDefault="007D38F1" w:rsidP="00C46AB6">
      <w:pPr>
        <w:spacing w:before="100" w:beforeAutospacing="1" w:after="100" w:afterAutospacing="1"/>
        <w:jc w:val="both"/>
        <w:rPr>
          <w:rFonts w:ascii="Times New Roman" w:eastAsia="Times New Roman" w:hAnsi="Times New Roman" w:cs="Times New Roman"/>
          <w:b/>
          <w:bCs/>
          <w:lang w:val="pt-PT" w:eastAsia="pt-PT"/>
        </w:rPr>
      </w:pPr>
      <w:r w:rsidRPr="00163896">
        <w:rPr>
          <w:rFonts w:ascii="Times New Roman" w:eastAsia="Times New Roman" w:hAnsi="Times New Roman" w:cs="Times New Roman"/>
          <w:b/>
          <w:bCs/>
          <w:lang w:val="pt-PT" w:eastAsia="pt-PT"/>
        </w:rPr>
        <w:t>6.</w:t>
      </w:r>
      <w:r w:rsidR="00956F3D" w:rsidRPr="00163896">
        <w:rPr>
          <w:rFonts w:ascii="Times New Roman" w:eastAsia="Times New Roman" w:hAnsi="Times New Roman" w:cs="Times New Roman"/>
          <w:b/>
          <w:bCs/>
          <w:lang w:val="pt-PT" w:eastAsia="pt-PT"/>
        </w:rPr>
        <w:t xml:space="preserve">1 </w:t>
      </w:r>
      <w:r w:rsidR="00805DA4" w:rsidRPr="00163896">
        <w:rPr>
          <w:rFonts w:ascii="Times New Roman" w:eastAsia="Times New Roman" w:hAnsi="Times New Roman" w:cs="Times New Roman"/>
          <w:b/>
          <w:bCs/>
          <w:lang w:val="pt-PT" w:eastAsia="pt-PT"/>
        </w:rPr>
        <w:t>Mapeamento das políticas e documentos normativos da Educação Pré-Escolar</w:t>
      </w:r>
    </w:p>
    <w:p w14:paraId="34AA6214" w14:textId="77777777" w:rsidR="00805DA4" w:rsidRPr="00163896" w:rsidRDefault="00805DA4" w:rsidP="00C46AB6">
      <w:p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A análise das políticas e documentos normativos foi realizada com base no quadro conceptual de Howlett e Ramesh (2003), segundo o qual uma política pública deve apresentar, de forma articulada, a definição do problema público, objectivos claros, instrumentos de intervenção, mecanismos de implementação, responsabilidades institucionais e dispositivos de monitoria e avaliação.</w:t>
      </w:r>
    </w:p>
    <w:p w14:paraId="078160AD" w14:textId="7D7F2D9B" w:rsidR="00805DA4" w:rsidRPr="00163896" w:rsidRDefault="00805DA4" w:rsidP="00C46AB6">
      <w:p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 xml:space="preserve">Com base nestes critérios, o estudo identificou </w:t>
      </w:r>
      <w:r w:rsidR="000D4E5B" w:rsidRPr="00163896">
        <w:rPr>
          <w:rFonts w:ascii="Times New Roman" w:eastAsia="Times New Roman" w:hAnsi="Times New Roman" w:cs="Times New Roman"/>
          <w:lang w:val="pt-PT" w:eastAsia="pt-PT"/>
        </w:rPr>
        <w:t xml:space="preserve">e analisou </w:t>
      </w:r>
      <w:r w:rsidRPr="00163896">
        <w:rPr>
          <w:rFonts w:ascii="Times New Roman" w:eastAsia="Times New Roman" w:hAnsi="Times New Roman" w:cs="Times New Roman"/>
          <w:lang w:val="pt-PT" w:eastAsia="pt-PT"/>
        </w:rPr>
        <w:t xml:space="preserve">um conjunto relativamente amplo de instrumentos legais, normativos e estratégicos relacionados com a Educação Pré-Escolar, a Educação de Infância e o Desenvolvimento da Primeira Infância em Moçambique. Entre os principais documentos destacam-se a Constituição da República de Moçambique, a Lei n.º </w:t>
      </w:r>
      <w:r w:rsidRPr="00163896">
        <w:rPr>
          <w:rFonts w:ascii="Times New Roman" w:eastAsia="Times New Roman" w:hAnsi="Times New Roman" w:cs="Times New Roman"/>
          <w:lang w:val="pt-PT" w:eastAsia="pt-PT"/>
        </w:rPr>
        <w:lastRenderedPageBreak/>
        <w:t>18/2018 do Sistema Nacional de Educação, o Plano Estratégico da Educação (2020–2029), o Plano Nacional de Acção para a Criança (PNAC III), a Estratégia Nacional de Desenvolvimento (ENDE), o Regulamento dos Centros Infantis e a proposta da Estratégia Nacional da Educação Pré-Escolar (ENEPE), ainda não aprovada.</w:t>
      </w:r>
    </w:p>
    <w:p w14:paraId="0966844C" w14:textId="77777777" w:rsidR="00805DA4" w:rsidRPr="00163896" w:rsidRDefault="00805DA4" w:rsidP="00C46AB6">
      <w:p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Contudo, a análise revelou que estes instrumentos se encontram dispersos e fragmentados, não configurando uma política nacional específica e integrada para a Educação Pré-Escolar. Embora os documentos reconheçam a importância da primeira infância e estabeleçam orientações para expansão do acesso, verificou-se ausência de definições claras sobre financiamento, responsabilidades institucionais, mecanismos de implementação e sistemas de monitoria. À luz dos critérios de Howlett e Ramesh (2003), conclui-se que Moçambique dispõe de um quadro regulatório relativamente robusto, mas ainda não possui uma Política Nacional de Educação Pré-Escolar plenamente estruturada e operacionalizada.</w:t>
      </w:r>
    </w:p>
    <w:p w14:paraId="3CEE1AF8" w14:textId="48143EEC" w:rsidR="00805DA4" w:rsidRPr="00163896" w:rsidRDefault="00805DA4" w:rsidP="00C46AB6">
      <w:p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 xml:space="preserve">A investigação identificou igualmente um fraco conhecimento dos instrumentos normativos por parte de muitos técnicos provinciais e distritais envolvidos na implementação das acções dirigidas à primeira infância. Em vários casos, os entrevistados demonstraram familiaridade apenas com os documentos produzidos pelos respectivos sectores, limitando a utilização dos demais instrumentos orientadores existentes e reduzindo o potencial de coordenação </w:t>
      </w:r>
      <w:r w:rsidR="000D4E5B" w:rsidRPr="00163896">
        <w:rPr>
          <w:rFonts w:ascii="Times New Roman" w:eastAsia="Times New Roman" w:hAnsi="Times New Roman" w:cs="Times New Roman"/>
          <w:lang w:val="pt-PT" w:eastAsia="pt-PT"/>
        </w:rPr>
        <w:t xml:space="preserve">intersectorial </w:t>
      </w:r>
      <w:r w:rsidRPr="00163896">
        <w:rPr>
          <w:rFonts w:ascii="Times New Roman" w:eastAsia="Times New Roman" w:hAnsi="Times New Roman" w:cs="Times New Roman"/>
          <w:lang w:val="pt-PT" w:eastAsia="pt-PT"/>
        </w:rPr>
        <w:t>das intervenções.</w:t>
      </w:r>
    </w:p>
    <w:p w14:paraId="2065A477" w14:textId="77777777" w:rsidR="00442192" w:rsidRDefault="00442192" w:rsidP="00C46AB6">
      <w:pPr>
        <w:pStyle w:val="NormalWeb"/>
        <w:jc w:val="both"/>
        <w:rPr>
          <w:b/>
          <w:bCs/>
        </w:rPr>
      </w:pPr>
    </w:p>
    <w:p w14:paraId="615AE167" w14:textId="1DF6CEBB" w:rsidR="009A6DE8" w:rsidRPr="00163896" w:rsidRDefault="007D38F1" w:rsidP="00C46AB6">
      <w:pPr>
        <w:pStyle w:val="NormalWeb"/>
        <w:jc w:val="both"/>
        <w:rPr>
          <w:b/>
          <w:bCs/>
        </w:rPr>
      </w:pPr>
      <w:r w:rsidRPr="00163896">
        <w:rPr>
          <w:b/>
          <w:bCs/>
        </w:rPr>
        <w:t>6.</w:t>
      </w:r>
      <w:r w:rsidR="00956F3D" w:rsidRPr="00163896">
        <w:rPr>
          <w:b/>
          <w:bCs/>
        </w:rPr>
        <w:t xml:space="preserve">2 </w:t>
      </w:r>
      <w:r w:rsidR="009A6DE8" w:rsidRPr="00163896">
        <w:rPr>
          <w:b/>
          <w:bCs/>
        </w:rPr>
        <w:t>Alinhamento entre as políticas nacionais e as orientações globais sobre Desenvolvimento da Primeira Infância</w:t>
      </w:r>
    </w:p>
    <w:p w14:paraId="76861085" w14:textId="05B9F232" w:rsidR="009A6DE8" w:rsidRPr="00163896" w:rsidRDefault="009A6DE8" w:rsidP="00C46AB6">
      <w:pPr>
        <w:pStyle w:val="NormalWeb"/>
        <w:jc w:val="both"/>
      </w:pPr>
      <w:r w:rsidRPr="00163896">
        <w:t xml:space="preserve">Os resultados demonstram que, por um lado, as políticas moçambicanas incorporam, de forma significativa, os princípios promovidos por organismos internacionais como a UNESCO, UNICEF, Banco Mundial, Organização Mundial da Saúde e União Africana. Conceitos como desenvolvimento integral da criança, inclusão, equidade, preparação para a escolaridade, protecção da infância e acesso universal encontram-se presentes nos principais documentos nacionais. </w:t>
      </w:r>
      <w:r w:rsidR="00D0299C" w:rsidRPr="00163896">
        <w:t>Por outro lado,</w:t>
      </w:r>
      <w:r w:rsidRPr="00163896">
        <w:t xml:space="preserve"> as instituições moçambicanas da área da criança participam em fóruns com agendas globais sobre a Infância.     </w:t>
      </w:r>
    </w:p>
    <w:p w14:paraId="1034B1EF" w14:textId="77777777" w:rsidR="009A6DE8" w:rsidRPr="00163896" w:rsidRDefault="009A6DE8" w:rsidP="00C46AB6">
      <w:pPr>
        <w:pStyle w:val="NormalWeb"/>
        <w:jc w:val="both"/>
      </w:pPr>
      <w:r w:rsidRPr="00163896">
        <w:t>Foi igualmente constatado que as agendas globais, particularmente a Convenção sobre os Direitos da Criança, os Objectivos de Desenvolvimento Sustentável (ODS 4.2), a Agenda 2063 da União Africana e o Nurturing Care Framework, influenciaram fortemente a formulação das políticas nacionais da primeira infância. Todavia, a pesquisa identificou uma discrepância entre o alinhamento conceptual e a implementação prática das orientações globais. Embora os princípios internacionais estejam incorporados nos documentos nacionais, persistem limitações institucionais, financeiras e operacionais que dificultam a sua concretização efectiva.</w:t>
      </w:r>
    </w:p>
    <w:p w14:paraId="5813E697" w14:textId="77777777" w:rsidR="00442192" w:rsidRDefault="00442192" w:rsidP="00C46AB6">
      <w:pPr>
        <w:spacing w:before="100" w:beforeAutospacing="1" w:after="100" w:afterAutospacing="1"/>
        <w:jc w:val="both"/>
        <w:rPr>
          <w:rFonts w:ascii="Times New Roman" w:eastAsia="Times New Roman" w:hAnsi="Times New Roman" w:cs="Times New Roman"/>
          <w:b/>
          <w:bCs/>
          <w:lang w:val="pt-PT" w:eastAsia="pt-PT"/>
        </w:rPr>
      </w:pPr>
    </w:p>
    <w:p w14:paraId="616CE000" w14:textId="76633C79" w:rsidR="00952174" w:rsidRPr="00163896" w:rsidRDefault="007D38F1" w:rsidP="00C46AB6">
      <w:pPr>
        <w:spacing w:before="100" w:beforeAutospacing="1" w:after="100" w:afterAutospacing="1"/>
        <w:jc w:val="both"/>
        <w:rPr>
          <w:rFonts w:ascii="Times New Roman" w:eastAsia="Times New Roman" w:hAnsi="Times New Roman" w:cs="Times New Roman"/>
          <w:b/>
          <w:bCs/>
          <w:lang w:val="pt-PT" w:eastAsia="pt-PT"/>
        </w:rPr>
      </w:pPr>
      <w:r w:rsidRPr="00163896">
        <w:rPr>
          <w:rFonts w:ascii="Times New Roman" w:eastAsia="Times New Roman" w:hAnsi="Times New Roman" w:cs="Times New Roman"/>
          <w:b/>
          <w:bCs/>
          <w:lang w:val="pt-PT" w:eastAsia="pt-PT"/>
        </w:rPr>
        <w:t>6.</w:t>
      </w:r>
      <w:r w:rsidR="00956F3D" w:rsidRPr="00163896">
        <w:rPr>
          <w:rFonts w:ascii="Times New Roman" w:eastAsia="Times New Roman" w:hAnsi="Times New Roman" w:cs="Times New Roman"/>
          <w:b/>
          <w:bCs/>
          <w:lang w:val="pt-PT" w:eastAsia="pt-PT"/>
        </w:rPr>
        <w:t xml:space="preserve">3 </w:t>
      </w:r>
      <w:r w:rsidR="00952174" w:rsidRPr="00163896">
        <w:rPr>
          <w:rFonts w:ascii="Times New Roman" w:eastAsia="Times New Roman" w:hAnsi="Times New Roman" w:cs="Times New Roman"/>
          <w:b/>
          <w:bCs/>
          <w:lang w:val="pt-PT" w:eastAsia="pt-PT"/>
        </w:rPr>
        <w:t>Modelos de governação, financiamento e implementação da Educação Pré-Escolar</w:t>
      </w:r>
    </w:p>
    <w:p w14:paraId="28DA3DE3" w14:textId="77777777" w:rsidR="00952174" w:rsidRPr="00163896" w:rsidRDefault="00952174" w:rsidP="00C46AB6">
      <w:p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 xml:space="preserve">A investigação constatou que Moçambique privilegia um modelo de expansão da Educação Pré-Escolar centrado na criação de centros infantis, jardins-de-infância e escolinhas comunitárias, cuja provisão assenta numa combinação de actores públicos, organizações da sociedade civil, </w:t>
      </w:r>
      <w:r w:rsidRPr="00163896">
        <w:rPr>
          <w:rFonts w:ascii="Times New Roman" w:eastAsia="Times New Roman" w:hAnsi="Times New Roman" w:cs="Times New Roman"/>
          <w:lang w:val="pt-PT" w:eastAsia="pt-PT"/>
        </w:rPr>
        <w:lastRenderedPageBreak/>
        <w:t>instituições religiosas, parceiros de cooperação internacional, sector privado e comunidades locais. Nas zonas rurais, as escolinhas comunitárias constituem o principal mecanismo de acesso à Educação Pré-Escolar.</w:t>
      </w:r>
    </w:p>
    <w:p w14:paraId="5784F7CB" w14:textId="77777777" w:rsidR="00952174" w:rsidRPr="00163896" w:rsidRDefault="00952174" w:rsidP="00C46AB6">
      <w:p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O estudo identificou experiências relevantes de expansão da cobertura, com destaque para o Projecto de Desenvolvimento Integrado da Criança na Primeira Infância (DICIPE), que permitiu alargar o acesso a milhares de crianças em diferentes comunidades. Contudo, verificou-se que muitos destes programas apresentam fragilidades de sustentabilidade devido à forte dependência de financiamento externo e à limitada capacidade das comunidades para assegurar a continuidade das iniciativas após o encerramento dos projectos.</w:t>
      </w:r>
    </w:p>
    <w:p w14:paraId="232307C8" w14:textId="55E375E8" w:rsidR="00952174" w:rsidRPr="00163896" w:rsidRDefault="00952174" w:rsidP="00C46AB6">
      <w:p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 xml:space="preserve">No plano institucional, a pesquisa revelou uma situação particular de governação: embora a Educação Pré-Escolar tenha sido formalmente integrada no Sistema Nacional de Educação através da Lei n.º 18/2018, a coordenação operacional das acções relacionadas com este subsistema permanece predominantemente sob </w:t>
      </w:r>
      <w:r w:rsidR="00E23AAB" w:rsidRPr="00163896">
        <w:rPr>
          <w:rFonts w:ascii="Times New Roman" w:eastAsia="Times New Roman" w:hAnsi="Times New Roman" w:cs="Times New Roman"/>
          <w:lang w:val="pt-PT" w:eastAsia="pt-PT"/>
        </w:rPr>
        <w:t>coordenação</w:t>
      </w:r>
      <w:r w:rsidRPr="00163896">
        <w:rPr>
          <w:rFonts w:ascii="Times New Roman" w:eastAsia="Times New Roman" w:hAnsi="Times New Roman" w:cs="Times New Roman"/>
          <w:lang w:val="pt-PT" w:eastAsia="pt-PT"/>
        </w:rPr>
        <w:t xml:space="preserve"> do Ministério do Género, Criança e Acção Social, enquanto o Ministério da Educação e Desenvolvimento Humano assume sobretudo funções normativas, curriculares e de enquadramento pedagógico. Esta configuração gera ambiguidades institucionais, sobreposição de competências e dificuldades de coordenação entre os sectores envolvidos.</w:t>
      </w:r>
    </w:p>
    <w:p w14:paraId="11EE3FC0" w14:textId="7D9781CA" w:rsidR="00952174" w:rsidRPr="00163896" w:rsidRDefault="00952174" w:rsidP="00C46AB6">
      <w:p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 xml:space="preserve">A investigação identificou igualmente limitações na articulação interministerial. Os diferentes sectores que actuam na área da infância tendem a utilizar prioritariamente os documentos produzidos pelos respectivos ministérios, recorrendo pouco aos instrumentos normativos desenvolvidos por outros sectores. Esta prática reduz a </w:t>
      </w:r>
      <w:r w:rsidR="00E23AAB" w:rsidRPr="00163896">
        <w:rPr>
          <w:rFonts w:ascii="Times New Roman" w:eastAsia="Times New Roman" w:hAnsi="Times New Roman" w:cs="Times New Roman"/>
          <w:lang w:val="pt-PT" w:eastAsia="pt-PT"/>
        </w:rPr>
        <w:t>holis</w:t>
      </w:r>
      <w:r w:rsidR="004E1344" w:rsidRPr="00163896">
        <w:rPr>
          <w:rFonts w:ascii="Times New Roman" w:eastAsia="Times New Roman" w:hAnsi="Times New Roman" w:cs="Times New Roman"/>
          <w:lang w:val="pt-PT" w:eastAsia="pt-PT"/>
        </w:rPr>
        <w:t>ticidade</w:t>
      </w:r>
      <w:r w:rsidRPr="00163896">
        <w:rPr>
          <w:rFonts w:ascii="Times New Roman" w:eastAsia="Times New Roman" w:hAnsi="Times New Roman" w:cs="Times New Roman"/>
          <w:lang w:val="pt-PT" w:eastAsia="pt-PT"/>
        </w:rPr>
        <w:t xml:space="preserve"> das políticas da primeira infância, enfraquece os mecanismos de coordenação</w:t>
      </w:r>
      <w:r w:rsidR="004E1344" w:rsidRPr="00163896">
        <w:rPr>
          <w:rFonts w:ascii="Times New Roman" w:eastAsia="Times New Roman" w:hAnsi="Times New Roman" w:cs="Times New Roman"/>
          <w:lang w:val="pt-PT" w:eastAsia="pt-PT"/>
        </w:rPr>
        <w:t xml:space="preserve"> intersectorial</w:t>
      </w:r>
      <w:r w:rsidRPr="00163896">
        <w:rPr>
          <w:rFonts w:ascii="Times New Roman" w:eastAsia="Times New Roman" w:hAnsi="Times New Roman" w:cs="Times New Roman"/>
          <w:lang w:val="pt-PT" w:eastAsia="pt-PT"/>
        </w:rPr>
        <w:t xml:space="preserve"> e contribui para a fragmentação da governação do sector.</w:t>
      </w:r>
    </w:p>
    <w:p w14:paraId="7C107626" w14:textId="77777777" w:rsidR="00952174" w:rsidRPr="00163896" w:rsidRDefault="00952174" w:rsidP="00C46AB6">
      <w:pPr>
        <w:spacing w:before="100" w:beforeAutospacing="1" w:after="100" w:afterAutospacing="1"/>
        <w:jc w:val="both"/>
        <w:rPr>
          <w:rFonts w:ascii="Times New Roman" w:eastAsia="Times New Roman" w:hAnsi="Times New Roman" w:cs="Times New Roman"/>
          <w:lang w:val="pt-PT" w:eastAsia="pt-PT"/>
        </w:rPr>
      </w:pPr>
      <w:r w:rsidRPr="00163896">
        <w:rPr>
          <w:rFonts w:ascii="Times New Roman" w:eastAsia="Times New Roman" w:hAnsi="Times New Roman" w:cs="Times New Roman"/>
          <w:lang w:val="pt-PT" w:eastAsia="pt-PT"/>
        </w:rPr>
        <w:t>Adicionalmente, verificaram-se fragilidades nos sistemas de supervisão, monitoria e produção de informação sobre a Educação Pré-Escolar, limitando a capacidade do Estado para acompanhar a expansão dos serviços, avaliar resultados e planificar intervenções sustentadas em evidências.</w:t>
      </w:r>
    </w:p>
    <w:p w14:paraId="3023C8DA" w14:textId="77777777" w:rsidR="00442192" w:rsidRDefault="00442192" w:rsidP="00C46AB6">
      <w:pPr>
        <w:pStyle w:val="NormalWeb"/>
        <w:jc w:val="both"/>
        <w:rPr>
          <w:b/>
          <w:bCs/>
        </w:rPr>
      </w:pPr>
    </w:p>
    <w:p w14:paraId="6104F138" w14:textId="0E8219C8" w:rsidR="009A6DE8" w:rsidRPr="00163896" w:rsidRDefault="009B73EA" w:rsidP="00C46AB6">
      <w:pPr>
        <w:pStyle w:val="NormalWeb"/>
        <w:jc w:val="both"/>
        <w:rPr>
          <w:b/>
          <w:bCs/>
        </w:rPr>
      </w:pPr>
      <w:r w:rsidRPr="00163896">
        <w:rPr>
          <w:b/>
          <w:bCs/>
        </w:rPr>
        <w:t>6.</w:t>
      </w:r>
      <w:r w:rsidR="00956F3D" w:rsidRPr="00163896">
        <w:rPr>
          <w:b/>
          <w:bCs/>
        </w:rPr>
        <w:t xml:space="preserve">4 </w:t>
      </w:r>
      <w:r w:rsidR="009A6DE8" w:rsidRPr="00163896">
        <w:rPr>
          <w:b/>
          <w:bCs/>
        </w:rPr>
        <w:t>Factores que condicionam o acesso à Educação Pré-Escolar</w:t>
      </w:r>
    </w:p>
    <w:p w14:paraId="15A6DC32" w14:textId="77777777" w:rsidR="009A6DE8" w:rsidRPr="00163896" w:rsidRDefault="009A6DE8" w:rsidP="00C46AB6">
      <w:pPr>
        <w:pStyle w:val="NormalWeb"/>
        <w:jc w:val="both"/>
      </w:pPr>
      <w:r w:rsidRPr="00163896">
        <w:t>Os resultados mostram que os baixos níveis de acesso à Educação Pré-Escolar resultam da combinação de factores económicos, institucionais, territoriais e socioculturais.</w:t>
      </w:r>
    </w:p>
    <w:p w14:paraId="3D5A1E64" w14:textId="77777777" w:rsidR="009A6DE8" w:rsidRPr="00163896" w:rsidRDefault="009A6DE8" w:rsidP="00C46AB6">
      <w:pPr>
        <w:pStyle w:val="NormalWeb"/>
        <w:jc w:val="both"/>
      </w:pPr>
      <w:r w:rsidRPr="00163896">
        <w:t>Entre os factores económicos, destacam-se a insuficiência do financiamento público destinado à primeira infância, a dependência de recursos externos e as dificuldades das famílias em suportar custos associados à frequência escolar. Nas comunidades estudadas, muitas famílias enfrentam condições de pobreza que limitam a sua capacidade de contribuir para o funcionamento das escolinhas comunitárias.</w:t>
      </w:r>
    </w:p>
    <w:p w14:paraId="454CACF5" w14:textId="77777777" w:rsidR="009A6DE8" w:rsidRPr="00163896" w:rsidRDefault="009A6DE8" w:rsidP="00C46AB6">
      <w:pPr>
        <w:pStyle w:val="NormalWeb"/>
        <w:jc w:val="both"/>
      </w:pPr>
      <w:r w:rsidRPr="00163896">
        <w:t>Ao nível territorial, verificaram-se fortes desigualdades entre áreas urbanas e rurais. As zonas rurais apresentam reduzida cobertura de serviços, grandes distâncias entre as comunidades e os centros educativos, infraestruturas inadequadas e escassez de materiais pedagógicos. Estas condições dificultam a frequência regular das crianças e limitam a expansão da oferta educativa.</w:t>
      </w:r>
    </w:p>
    <w:p w14:paraId="2994098C" w14:textId="77777777" w:rsidR="009A6DE8" w:rsidRPr="00163896" w:rsidRDefault="009A6DE8" w:rsidP="00C46AB6">
      <w:pPr>
        <w:pStyle w:val="NormalWeb"/>
        <w:jc w:val="both"/>
      </w:pPr>
      <w:r w:rsidRPr="00163896">
        <w:lastRenderedPageBreak/>
        <w:t>No plano institucional, foram identificadas limitações relacionadas com a insuficiência de educadores qualificados, elevada rotatividade do pessoal, fragilidade dos sistemas de supervisão e reduzida capacidade técnica para apoiar a expansão dos serviços. Os participantes do estudo referiram igualmente dificuldades na operacionalização das políticas existentes e na mobilização de recursos para garantir a sustentabilidade das iniciativas.</w:t>
      </w:r>
    </w:p>
    <w:p w14:paraId="2F3F11D5" w14:textId="77777777" w:rsidR="009A6DE8" w:rsidRPr="00163896" w:rsidRDefault="009A6DE8" w:rsidP="00C46AB6">
      <w:pPr>
        <w:pStyle w:val="NormalWeb"/>
        <w:jc w:val="both"/>
      </w:pPr>
      <w:r w:rsidRPr="00163896">
        <w:t>Apesar destes constrangimentos, a investigação constatou elevado reconhecimento social da importância da Educação Pré-Escolar. Pais, líderes comunitários e representantes institucionais consideram que a frequência da Educação Pré-Escolar contribui para o desenvolvimento cognitivo, social, emocional e linguístico das crianças, favorecendo a sua preparação para o ensino primário e promovendo melhores oportunidades educativas futuras.</w:t>
      </w:r>
    </w:p>
    <w:p w14:paraId="282FE54F" w14:textId="77777777" w:rsidR="00442192" w:rsidRDefault="00442192" w:rsidP="00C46AB6">
      <w:pPr>
        <w:pStyle w:val="NormalWeb"/>
        <w:jc w:val="both"/>
        <w:rPr>
          <w:b/>
          <w:bCs/>
        </w:rPr>
      </w:pPr>
    </w:p>
    <w:p w14:paraId="219BE748" w14:textId="67DD19B3" w:rsidR="009A6DE8" w:rsidRPr="00163896" w:rsidRDefault="009B73EA" w:rsidP="00C46AB6">
      <w:pPr>
        <w:pStyle w:val="NormalWeb"/>
        <w:jc w:val="both"/>
        <w:rPr>
          <w:b/>
          <w:bCs/>
        </w:rPr>
      </w:pPr>
      <w:r w:rsidRPr="00163896">
        <w:rPr>
          <w:b/>
          <w:bCs/>
        </w:rPr>
        <w:t>6.</w:t>
      </w:r>
      <w:r w:rsidR="00956F3D" w:rsidRPr="00163896">
        <w:rPr>
          <w:b/>
          <w:bCs/>
        </w:rPr>
        <w:t xml:space="preserve">5 </w:t>
      </w:r>
      <w:r w:rsidR="009A6DE8" w:rsidRPr="00163896">
        <w:rPr>
          <w:b/>
          <w:bCs/>
        </w:rPr>
        <w:t>Elementos estratégicos para a expansão sustentável da Educação Pré-Escolar</w:t>
      </w:r>
    </w:p>
    <w:p w14:paraId="750472E5" w14:textId="77777777" w:rsidR="009A6DE8" w:rsidRPr="00163896" w:rsidRDefault="009A6DE8" w:rsidP="00C46AB6">
      <w:pPr>
        <w:pStyle w:val="NormalWeb"/>
        <w:jc w:val="both"/>
      </w:pPr>
      <w:r w:rsidRPr="00163896">
        <w:t>Com base nos resultados obtidos, o estudo identifica um conjunto de orientações estratégicas para fortalecer as políticas públicas da primeira infância e ampliar o acesso à Educação Pré-Escolar.</w:t>
      </w:r>
    </w:p>
    <w:p w14:paraId="46B8AECE" w14:textId="77777777" w:rsidR="009A6DE8" w:rsidRPr="00163896" w:rsidRDefault="009A6DE8" w:rsidP="00C46AB6">
      <w:pPr>
        <w:pStyle w:val="NormalWeb"/>
        <w:jc w:val="both"/>
      </w:pPr>
      <w:r w:rsidRPr="00163896">
        <w:t>Entre as principais prioridades destacam-se a formulação e institucionalização de uma Política Nacional de Educação Pré-Escolar; o aumento do investimento público no sector; a criação de mecanismos de financiamento sustentável para as escolinhas comunitárias; a integração progressiva das instituições comunitárias no sistema público de educação; a expansão das infraestruturas educativas em zonas rurais; e a valorização profissional dos educadores de infância através de programas de formação inicial e contínua.</w:t>
      </w:r>
    </w:p>
    <w:p w14:paraId="3616F92A" w14:textId="77777777" w:rsidR="009A6DE8" w:rsidRPr="00163896" w:rsidRDefault="009A6DE8" w:rsidP="00C46AB6">
      <w:pPr>
        <w:pStyle w:val="NormalWeb"/>
        <w:jc w:val="both"/>
      </w:pPr>
      <w:r w:rsidRPr="00163896">
        <w:t>A investigação recomenda igualmente o fortalecimento da coordenação intersectorial entre educação, saúde, nutrição e protecção social, bem como o desenvolvimento de sistemas de monitoria e informação capazes de produzir dados regulares sobre cobertura, qualidade e inclusão. Por fim, destaca-se a necessidade de aprofundar a participação das comunidades e das organizações locais na gestão e sustentabilidade dos serviços, articulando os conhecimentos locais com as orientações nacionais e internacionais para a primeira infância.</w:t>
      </w:r>
    </w:p>
    <w:p w14:paraId="2A61A26A" w14:textId="77777777" w:rsidR="009A6DE8" w:rsidRPr="00163896" w:rsidRDefault="009A6DE8" w:rsidP="00C46AB6">
      <w:pPr>
        <w:pStyle w:val="NormalWeb"/>
        <w:jc w:val="both"/>
      </w:pPr>
      <w:r w:rsidRPr="00163896">
        <w:t>Em síntese, os resultados demonstram que Moçambique dispõe actualmente de bases normativas e institucionais importantes para promover a Educação Pré-Escolar. No entanto, a persistência de baixos níveis de acesso evidencia que os avanços políticos e legais ainda não foram acompanhados por mecanismos de implementação suficientemente robustos para assegurar uma expansão inclusiva, equitativa e sustentável dos serviços de educação destinados às crianças dos 0 aos 6 anos.</w:t>
      </w:r>
    </w:p>
    <w:p w14:paraId="60305076" w14:textId="77777777" w:rsidR="00442192" w:rsidRDefault="00442192" w:rsidP="00C46AB6">
      <w:pPr>
        <w:spacing w:after="3" w:line="261" w:lineRule="auto"/>
        <w:jc w:val="both"/>
        <w:rPr>
          <w:rFonts w:ascii="Times New Roman" w:eastAsia="Calibri" w:hAnsi="Times New Roman" w:cs="Times New Roman"/>
          <w:b/>
          <w:bCs/>
          <w:color w:val="000000"/>
          <w:kern w:val="2"/>
          <w:lang w:val="pt-PT" w:eastAsia="pt-PT"/>
        </w:rPr>
      </w:pPr>
    </w:p>
    <w:p w14:paraId="3D269F69" w14:textId="507CD626" w:rsidR="00D16DC1" w:rsidRPr="00163896" w:rsidRDefault="007D38F1" w:rsidP="00C46AB6">
      <w:pPr>
        <w:spacing w:after="3" w:line="261" w:lineRule="auto"/>
        <w:jc w:val="both"/>
        <w:rPr>
          <w:rFonts w:ascii="Times New Roman" w:eastAsia="Calibri" w:hAnsi="Times New Roman" w:cs="Times New Roman"/>
          <w:b/>
          <w:bCs/>
          <w:color w:val="000000"/>
          <w:kern w:val="2"/>
          <w:lang w:val="pt-PT" w:eastAsia="pt-PT"/>
        </w:rPr>
      </w:pPr>
      <w:r w:rsidRPr="00163896">
        <w:rPr>
          <w:rFonts w:ascii="Times New Roman" w:eastAsia="Calibri" w:hAnsi="Times New Roman" w:cs="Times New Roman"/>
          <w:b/>
          <w:bCs/>
          <w:color w:val="000000"/>
          <w:kern w:val="2"/>
          <w:lang w:val="pt-PT" w:eastAsia="pt-PT"/>
        </w:rPr>
        <w:t xml:space="preserve">7. DISCUSSÃO DOS RESULTADOS </w:t>
      </w:r>
    </w:p>
    <w:p w14:paraId="7E8E4370" w14:textId="77777777" w:rsidR="00D37CDC" w:rsidRPr="00163896" w:rsidRDefault="00D37CDC" w:rsidP="00C46AB6">
      <w:pPr>
        <w:pStyle w:val="isselectedend"/>
        <w:jc w:val="both"/>
      </w:pPr>
      <w:r w:rsidRPr="00163896">
        <w:t xml:space="preserve">Os resultados da presente investigação revelam a existência de um paradoxo nas políticas de Educação Pré-Escolar em Moçambique: apesar do fortalecimento progressivo do quadro normativo e do crescente reconhecimento da importância da primeira infância nas agendas nacionais e internacionais, os níveis de acesso aos serviços de Educação Pré-Escolar permanecem reduzidos e marcados por profundas desigualdades territoriais e socioeconómicas. </w:t>
      </w:r>
      <w:r w:rsidRPr="00163896">
        <w:lastRenderedPageBreak/>
        <w:t>Esta constatação confirma o problema central que motivou o estudo e sugere que a existência de instrumentos legais e estratégicos, por si só, não garante a expansão efectiva do acesso às oportunidades educativas para as crianças dos 0 aos 6 anos.</w:t>
      </w:r>
      <w:r w:rsidRPr="00163896">
        <w:br/>
        <w:t>A análise dos documentos normativos, realizada com base nos critérios propostos por Howlett e Ramesh (2003), demonstra que Moçambique dispõe de um conjunto relativamente amplo de instrumentos relacionados com a primeira infância. Contudo, estes documentos encontram-se dispersos por diferentes sectores governamentais e não configuram uma política nacional específica de Educação Pré-Escolar capaz de definir de forma integrada o problema público, os objectivos, os mecanismos de implementação, os instrumentos de financiamento e os sistemas de monitoria. Este resultado corrobora a perspectiva de Howlett e Ramesh (2003), segundo a qual a eficácia das políticas públicas depende da coerência entre formulação, implementação e avaliação. A fragmentação observada sugere que o desafio da Educação Pré-Escolar em Moçambique não reside apenas na ausência de recursos, mas também na limitada institucionalização da política enquanto instrumento de coordenação da acção pública.</w:t>
      </w:r>
    </w:p>
    <w:p w14:paraId="32BE1D45" w14:textId="77777777" w:rsidR="00D37CDC" w:rsidRPr="00163896" w:rsidRDefault="00D37CDC" w:rsidP="00C46AB6">
      <w:pPr>
        <w:pStyle w:val="isselectedend"/>
        <w:jc w:val="both"/>
      </w:pPr>
      <w:r w:rsidRPr="00163896">
        <w:t>Os resultados revelam igualmente uma forte influência das agendas globais na formulação das políticas nacionais da primeira infância. A incorporação de princípios como desenvolvimento integral da criança, equidade, inclusão e universalização do acesso demonstra a relevância dos processos de difusão internacional de políticas públicas. Este fenómeno confirma a literatura que destaca o papel de organismos como UNESCO, UNICEF, Banco Mundial e União Africana na definição das prioridades educativas dos países em desenvolvimento. Contudo, tal como observado por Marope e Kaga (2015), a adopção de referenciais internacionais não garante automaticamente a sua concretização nos contextos nacionais. O estudo evidencia que existe uma distância significativa entre a adesão discursiva aos princípios globais e a capacidade institucional necessária para os transformar em serviços efectivos para as crianças e famílias.</w:t>
      </w:r>
    </w:p>
    <w:p w14:paraId="4275A407" w14:textId="77777777" w:rsidR="00D37CDC" w:rsidRPr="00163896" w:rsidRDefault="00D37CDC" w:rsidP="00C46AB6">
      <w:pPr>
        <w:pStyle w:val="isselectedend"/>
        <w:jc w:val="both"/>
      </w:pPr>
      <w:r w:rsidRPr="00163896">
        <w:t>A investigação permitiu ainda identificar um aspecto particularmente relevante da governação da Educação Pré-Escolar em Moçambique. Embora a Lei n.º 18/2018 tenha integrado formalmente a Educação Pré-Escolar no Sistema Nacional de Educação, a coordenação operacional do subsector continua predominantemente associada ao sector da Acção Social. Esta configuração institucional produz ambiguidades na definição de responsabilidades e contribui para dificuldades de coordenação entre os diferentes sectores envolvidos na primeira infância. Os resultados reforçam, assim, a literatura sobre governação intersectorial, que destaca a necessidade de mecanismos claros de liderança institucional para assegurar a implementação eficaz de políticas que dependem da articulação entre múltiplos actores e sectores.</w:t>
      </w:r>
    </w:p>
    <w:p w14:paraId="362270B8" w14:textId="77777777" w:rsidR="00D37CDC" w:rsidRPr="00163896" w:rsidRDefault="00D37CDC" w:rsidP="00C46AB6">
      <w:pPr>
        <w:pStyle w:val="isselectedend"/>
        <w:jc w:val="both"/>
      </w:pPr>
      <w:r w:rsidRPr="00163896">
        <w:t>As fragilidades de coordenação tornam-se ainda mais evidentes quando se observa que muitos técnicos provinciais e distritais demonstraram conhecimento limitado dos instrumentos normativos existentes, recorrendo principalmente aos documentos produzidos pelos respectivos ministérios. Esta situação sugere que a circulação e apropriação dos instrumentos de política permanecem restritas aos níveis centrais da administração pública. Consequentemente, os documentos que deveriam orientar a implementação das políticas nem sempre influenciam as decisões e práticas quotidianas dos actores responsáveis pela sua operacionalização. Este resultado aproxima-se das análises de implementação de políticas públicas que enfatizam a importância dos chamados “burocratas de linha da frente” (street-level bureaucrats), cuja interpretação e utilização dos instrumentos normativos condicionam os resultados efectivos das políticas.</w:t>
      </w:r>
    </w:p>
    <w:p w14:paraId="624B03F4" w14:textId="77777777" w:rsidR="00D37CDC" w:rsidRPr="00163896" w:rsidRDefault="00D37CDC" w:rsidP="00C46AB6">
      <w:pPr>
        <w:pStyle w:val="isselectedend"/>
        <w:jc w:val="both"/>
      </w:pPr>
      <w:r w:rsidRPr="00163896">
        <w:lastRenderedPageBreak/>
        <w:t>Outro aspecto relevante diz respeito à limitada articulação interministerial observada na área da primeira infância. Embora os documentos nacionais defendam abordagens integradas de Desenvolvimento da Primeira Infância, os diferentes sectores tendem a planificar e implementar as suas acções de forma relativamente autónoma. Este padrão contrasta com a perspectiva defendida pelo Nurturing Care Framework, segundo a qual o desenvolvimento infantil depende da integração efectiva entre educação, saúde, nutrição, protecção social e apoio às famílias. Os resultados sugerem que a fragmentação institucional reduz a capacidade do Estado para responder de forma abrangente às necessidades das crianças, comprometendo a eficácia das intervenções.</w:t>
      </w:r>
    </w:p>
    <w:p w14:paraId="72E3A1EC" w14:textId="77777777" w:rsidR="00D37CDC" w:rsidRPr="00163896" w:rsidRDefault="00D37CDC" w:rsidP="00C46AB6">
      <w:pPr>
        <w:pStyle w:val="isselectedend"/>
        <w:jc w:val="both"/>
      </w:pPr>
      <w:r w:rsidRPr="00163896">
        <w:t>No que se refere à provisão dos serviços, o estudo evidencia que a expansão da Educação Pré-Escolar em Moçambique tem dependido fortemente da participação de organizações da sociedade civil, parceiros de cooperação internacional e comunidades locais. A experiência das escolinhas comunitárias e do Projecto DICIPE demonstra que é possível ampliar significativamente o acesso através de modelos participativos e de base comunitária. Contudo, a investigação mostra igualmente que estes modelos enfrentam dificuldades de sustentabilidade quando cessam os financiamentos externos. Este resultado confirma observações recorrentes na literatura africana sobre Educação Pré-Escolar, segundo a qual a dependência de projectos financiados por parceiros tende a produzir ganhos importantes de cobertura, mas nem sempre assegura a continuidade dos serviços a longo prazo.</w:t>
      </w:r>
    </w:p>
    <w:p w14:paraId="21C7C55C" w14:textId="77777777" w:rsidR="00D37CDC" w:rsidRPr="00163896" w:rsidRDefault="00D37CDC" w:rsidP="00C46AB6">
      <w:pPr>
        <w:pStyle w:val="isselectedend"/>
        <w:jc w:val="both"/>
      </w:pPr>
      <w:r w:rsidRPr="00163896">
        <w:t>Por outro lado, as barreiras identificadas — insuficiência de financiamento público, escassez de educadores qualificados, limitações infraestruturais e desigualdades territoriais — demonstram que o acesso à Educação Pré-Escolar deve ser compreendido como um fenómeno multidimensional. Esta interpretação converge com as abordagens de equidade defendidas por Heckman (2006), segundo as quais as oportunidades educativas na primeira infância dependem não apenas da existência formal dos serviços, mas também da capacidade das famílias e das comunidades para deles beneficiar em condições adequadas.</w:t>
      </w:r>
    </w:p>
    <w:p w14:paraId="07EB202F" w14:textId="77777777" w:rsidR="00D37CDC" w:rsidRPr="00163896" w:rsidRDefault="00D37CDC" w:rsidP="00C46AB6">
      <w:pPr>
        <w:pStyle w:val="isselectedend"/>
        <w:jc w:val="both"/>
      </w:pPr>
      <w:r w:rsidRPr="00163896">
        <w:t>Apesar das limitações identificadas, os resultados revelam um elevado reconhecimento social da importância da Educação Pré-Escolar. Pais, líderes comunitários e representantes institucionais associam a frequência destes serviços ao desenvolvimento cognitivo, linguístico, social e emocional das crianças, bem como à melhoria da preparação para o ensino primário. Esta valorização social constitui um activo importante para futuras estratégias de expansão do sector e confirma a relevância dos argumentos apresentados pela literatura sobre Desenvolvimento da Primeira Infância, que destaca os benefícios educativos e sociais dos investimentos realizados nos primeiros anos de vida.</w:t>
      </w:r>
    </w:p>
    <w:p w14:paraId="7C3A9665" w14:textId="0F4D91AE" w:rsidR="00442192" w:rsidRDefault="00D37CDC" w:rsidP="00C46AB6">
      <w:pPr>
        <w:pStyle w:val="NormalWeb"/>
        <w:jc w:val="both"/>
      </w:pPr>
      <w:r w:rsidRPr="00163896">
        <w:t>Em síntese, a discussão dos resultados permite concluir que os desafios da Educação Pré-Escolar em Moçambique não decorrem apenas da insuficiência de recursos financeiros ou da reduzida cobertura dos serviços. Os principais constrangimentos encontram-se igualmente associados à fragmentação da governação, à limitada coordenação intersectorial, à fraca apropriação dos instrumentos normativos pelos níveis locais de implementação e à ausência de uma política nacional específica capaz de articular os diferentes actores e mecanismos envolvidos. Neste sentido, a expansão sustentável da Educação Pré-Escolar exigirá não apenas mais investimentos, mas também um fortalecimento da capacidade institucional do Estado para transformar compromissos normativos em oportunidades concretas de aprendizagem e desenvolvimento para todas as crianças.</w:t>
      </w:r>
    </w:p>
    <w:p w14:paraId="575675BF" w14:textId="77777777" w:rsidR="00442192" w:rsidRDefault="00442192" w:rsidP="00C46AB6">
      <w:pPr>
        <w:pStyle w:val="NormalWeb"/>
        <w:jc w:val="both"/>
      </w:pPr>
    </w:p>
    <w:p w14:paraId="335524B8" w14:textId="77777777" w:rsidR="00442192" w:rsidRPr="00442192" w:rsidRDefault="00442192" w:rsidP="00442192">
      <w:pPr>
        <w:spacing w:before="100" w:beforeAutospacing="1" w:after="100" w:afterAutospacing="1"/>
        <w:jc w:val="both"/>
        <w:outlineLvl w:val="1"/>
        <w:rPr>
          <w:rFonts w:ascii="Times New Roman" w:eastAsia="Times New Roman" w:hAnsi="Times New Roman" w:cs="Times New Roman"/>
          <w:b/>
          <w:bCs/>
          <w:lang w:eastAsia="pt-PT"/>
        </w:rPr>
      </w:pPr>
      <w:r w:rsidRPr="00442192">
        <w:rPr>
          <w:rFonts w:ascii="Times New Roman" w:eastAsia="Times New Roman" w:hAnsi="Times New Roman" w:cs="Times New Roman"/>
          <w:b/>
          <w:bCs/>
          <w:lang w:eastAsia="pt-PT"/>
        </w:rPr>
        <w:t>8. CONCLUSÕES DO ESTUDO</w:t>
      </w:r>
    </w:p>
    <w:p w14:paraId="646E7BE3" w14:textId="77777777" w:rsidR="00442192" w:rsidRPr="00442192" w:rsidRDefault="00442192" w:rsidP="00442192">
      <w:pPr>
        <w:spacing w:before="100" w:beforeAutospacing="1" w:after="100" w:afterAutospacing="1"/>
        <w:jc w:val="both"/>
        <w:rPr>
          <w:rFonts w:ascii="Times New Roman" w:eastAsia="Times New Roman" w:hAnsi="Times New Roman" w:cs="Times New Roman"/>
          <w:lang w:eastAsia="pt-PT"/>
        </w:rPr>
      </w:pPr>
      <w:r w:rsidRPr="00442192">
        <w:rPr>
          <w:rFonts w:ascii="Times New Roman" w:eastAsia="Times New Roman" w:hAnsi="Times New Roman" w:cs="Times New Roman"/>
          <w:lang w:eastAsia="pt-PT"/>
        </w:rPr>
        <w:t>O presente estudo analisou as políticas públicas de Educação Pré-Escolar em Moçambique, examinando a relação entre o quadro normativo, os mecanismos de implementação e os níveis de acesso observados à luz das orientações globais sobre Desenvolvimento da Primeira Infância. Os resultados demonstram que, apesar dos avanços registados no reconhecimento político e legal da Educação Pré-Escolar, estes não foram acompanhados por uma expansão significativa e sustentável do acesso aos serviços.</w:t>
      </w:r>
    </w:p>
    <w:p w14:paraId="7D939385" w14:textId="77777777" w:rsidR="00442192" w:rsidRPr="00442192" w:rsidRDefault="00442192" w:rsidP="00442192">
      <w:pPr>
        <w:spacing w:before="100" w:beforeAutospacing="1" w:after="100" w:afterAutospacing="1"/>
        <w:jc w:val="both"/>
        <w:rPr>
          <w:rFonts w:ascii="Times New Roman" w:eastAsia="Times New Roman" w:hAnsi="Times New Roman" w:cs="Times New Roman"/>
          <w:lang w:eastAsia="pt-PT"/>
        </w:rPr>
      </w:pPr>
      <w:r w:rsidRPr="00442192">
        <w:rPr>
          <w:rFonts w:ascii="Times New Roman" w:eastAsia="Times New Roman" w:hAnsi="Times New Roman" w:cs="Times New Roman"/>
          <w:lang w:eastAsia="pt-PT"/>
        </w:rPr>
        <w:t>A investigação identificou um conjunto de instrumentos legais e estratégicos que reconhecem a importância da primeira infância. Contudo, estes instrumentos permanecem dispersos e insuficientemente articulados, não constituindo uma política nacional específica de Educação Pré-Escolar com definição clara de objectivos, responsabilidades, financiamento e mecanismos de monitoria.</w:t>
      </w:r>
    </w:p>
    <w:p w14:paraId="218F5047" w14:textId="77777777" w:rsidR="00442192" w:rsidRPr="00442192" w:rsidRDefault="00442192" w:rsidP="00442192">
      <w:pPr>
        <w:spacing w:before="100" w:beforeAutospacing="1" w:after="100" w:afterAutospacing="1"/>
        <w:jc w:val="both"/>
        <w:rPr>
          <w:rFonts w:ascii="Times New Roman" w:eastAsia="Times New Roman" w:hAnsi="Times New Roman" w:cs="Times New Roman"/>
          <w:lang w:eastAsia="pt-PT"/>
        </w:rPr>
      </w:pPr>
      <w:r w:rsidRPr="00442192">
        <w:rPr>
          <w:rFonts w:ascii="Times New Roman" w:eastAsia="Times New Roman" w:hAnsi="Times New Roman" w:cs="Times New Roman"/>
          <w:lang w:eastAsia="pt-PT"/>
        </w:rPr>
        <w:t>O estudo verificou igualmente que as políticas nacionais incorporam princípios e orientações promovidos por instrumentos internacionais, incluindo a Convenção sobre os Direitos da Criança, os Objectivos de Desenvolvimento Sustentável, a Agenda 2063 e o Nurturing Care Framework. No entanto, persistem diferenças significativas entre os compromissos assumidos e a disponibilidade efectiva de serviços acessíveis e de qualidade.</w:t>
      </w:r>
    </w:p>
    <w:p w14:paraId="12076A1E" w14:textId="77777777" w:rsidR="00442192" w:rsidRPr="00442192" w:rsidRDefault="00442192" w:rsidP="00442192">
      <w:pPr>
        <w:spacing w:before="100" w:beforeAutospacing="1" w:after="100" w:afterAutospacing="1"/>
        <w:jc w:val="both"/>
        <w:rPr>
          <w:rFonts w:ascii="Times New Roman" w:eastAsia="Times New Roman" w:hAnsi="Times New Roman" w:cs="Times New Roman"/>
          <w:lang w:eastAsia="pt-PT"/>
        </w:rPr>
      </w:pPr>
      <w:r w:rsidRPr="00442192">
        <w:rPr>
          <w:rFonts w:ascii="Times New Roman" w:eastAsia="Times New Roman" w:hAnsi="Times New Roman" w:cs="Times New Roman"/>
          <w:lang w:eastAsia="pt-PT"/>
        </w:rPr>
        <w:t>Os resultados demonstram que a expansão da Educação Pré-Escolar tem sido assegurada através de um modelo de provisão partilhado entre Estado, parceiros de cooperação, organizações da sociedade civil e comunidades locais. Embora iniciativas como o DICIPE tenham contribuído para ampliar o acesso em determinadas regiões, a forte dependência de financiamento externo constitui um importante desafio à sustentabilidade dos serviços. Acresce que, apesar da integração formal da Educação Pré-Escolar no Sistema Nacional de Educação, persistem ambiguidades institucionais e limitações de coordenação entre os sectores envolvidos.</w:t>
      </w:r>
    </w:p>
    <w:p w14:paraId="417ECED3" w14:textId="77777777" w:rsidR="00442192" w:rsidRPr="00442192" w:rsidRDefault="00442192" w:rsidP="00442192">
      <w:pPr>
        <w:spacing w:before="100" w:beforeAutospacing="1" w:after="100" w:afterAutospacing="1"/>
        <w:jc w:val="both"/>
        <w:rPr>
          <w:rFonts w:ascii="Times New Roman" w:eastAsia="Times New Roman" w:hAnsi="Times New Roman" w:cs="Times New Roman"/>
          <w:lang w:eastAsia="pt-PT"/>
        </w:rPr>
      </w:pPr>
      <w:r w:rsidRPr="00442192">
        <w:rPr>
          <w:rFonts w:ascii="Times New Roman" w:eastAsia="Times New Roman" w:hAnsi="Times New Roman" w:cs="Times New Roman"/>
          <w:lang w:eastAsia="pt-PT"/>
        </w:rPr>
        <w:t>A pesquisa identificou como principais constrangimentos ao acesso a insuficiência de financiamento público, a reduzida cobertura nas zonas rurais, a escassez de infraestruturas e educadores qualificados, bem como fragilidades nos sistemas de supervisão, monitoria e coordenação institucional. Apesar destes desafios, verificou-se um forte reconhecimento social da importância da Educação Pré-Escolar para o desenvolvimento integral da criança e para a preparação para o ensino primário.</w:t>
      </w:r>
    </w:p>
    <w:p w14:paraId="38D14AE5" w14:textId="77777777" w:rsidR="00442192" w:rsidRPr="00442192" w:rsidRDefault="00442192" w:rsidP="00442192">
      <w:pPr>
        <w:spacing w:before="100" w:beforeAutospacing="1" w:after="100" w:afterAutospacing="1"/>
        <w:jc w:val="both"/>
        <w:rPr>
          <w:rFonts w:ascii="Times New Roman" w:eastAsia="Times New Roman" w:hAnsi="Times New Roman" w:cs="Times New Roman"/>
          <w:lang w:eastAsia="pt-PT"/>
        </w:rPr>
      </w:pPr>
      <w:r w:rsidRPr="00442192">
        <w:rPr>
          <w:rFonts w:ascii="Times New Roman" w:eastAsia="Times New Roman" w:hAnsi="Times New Roman" w:cs="Times New Roman"/>
          <w:lang w:eastAsia="pt-PT"/>
        </w:rPr>
        <w:t>Em síntese, a investigação conclui que os principais obstáculos à expansão da Educação Pré-Escolar em Moçambique resultam não apenas da escassez de recursos, mas também da fragmentação da governação e das limitações na operacionalização das políticas existentes. A concretização do direito à Educação Pré-Escolar dependerá da capacidade do Estado de transformar os avanços normativos em mecanismos efectivos de implementação, financiamento e coordenação.</w:t>
      </w:r>
    </w:p>
    <w:p w14:paraId="50330FA7" w14:textId="77777777" w:rsidR="00442192" w:rsidRPr="00442192" w:rsidRDefault="00442192" w:rsidP="00442192">
      <w:pPr>
        <w:spacing w:before="100" w:beforeAutospacing="1" w:after="100" w:afterAutospacing="1"/>
        <w:jc w:val="both"/>
        <w:outlineLvl w:val="1"/>
        <w:rPr>
          <w:rFonts w:ascii="Times New Roman" w:eastAsia="Times New Roman" w:hAnsi="Times New Roman" w:cs="Times New Roman"/>
          <w:b/>
          <w:bCs/>
          <w:lang w:eastAsia="pt-PT"/>
        </w:rPr>
      </w:pPr>
      <w:r w:rsidRPr="00442192">
        <w:rPr>
          <w:rFonts w:ascii="Times New Roman" w:eastAsia="Times New Roman" w:hAnsi="Times New Roman" w:cs="Times New Roman"/>
          <w:b/>
          <w:bCs/>
          <w:lang w:eastAsia="pt-PT"/>
        </w:rPr>
        <w:t>9. RECOMENDAÇÕES PARA STAKEHOLDERS</w:t>
      </w:r>
    </w:p>
    <w:p w14:paraId="51EC590D" w14:textId="77777777" w:rsidR="00442192" w:rsidRPr="00442192" w:rsidRDefault="00442192" w:rsidP="00442192">
      <w:pPr>
        <w:spacing w:before="100" w:beforeAutospacing="1" w:after="100" w:afterAutospacing="1"/>
        <w:jc w:val="both"/>
        <w:outlineLvl w:val="2"/>
        <w:rPr>
          <w:rFonts w:ascii="Times New Roman" w:eastAsia="Times New Roman" w:hAnsi="Times New Roman" w:cs="Times New Roman"/>
          <w:b/>
          <w:bCs/>
          <w:lang w:eastAsia="pt-PT"/>
        </w:rPr>
      </w:pPr>
      <w:r w:rsidRPr="00442192">
        <w:rPr>
          <w:rFonts w:ascii="Times New Roman" w:eastAsia="Times New Roman" w:hAnsi="Times New Roman" w:cs="Times New Roman"/>
          <w:b/>
          <w:bCs/>
          <w:lang w:eastAsia="pt-PT"/>
        </w:rPr>
        <w:t>Ao Governo de Moçambique</w:t>
      </w:r>
    </w:p>
    <w:p w14:paraId="73212A53" w14:textId="132E6EBB" w:rsidR="00442192" w:rsidRPr="00442192" w:rsidRDefault="00442192" w:rsidP="00442192">
      <w:pPr>
        <w:pStyle w:val="ListParagraph"/>
        <w:numPr>
          <w:ilvl w:val="0"/>
          <w:numId w:val="26"/>
        </w:numPr>
        <w:spacing w:before="100" w:beforeAutospacing="1" w:after="100" w:afterAutospacing="1"/>
        <w:jc w:val="both"/>
        <w:rPr>
          <w:rFonts w:ascii="Times New Roman" w:eastAsia="Times New Roman" w:hAnsi="Times New Roman" w:cs="Times New Roman"/>
          <w:lang w:eastAsia="pt-PT"/>
        </w:rPr>
      </w:pPr>
      <w:r w:rsidRPr="00442192">
        <w:rPr>
          <w:rFonts w:ascii="Times New Roman" w:eastAsia="Times New Roman" w:hAnsi="Times New Roman" w:cs="Times New Roman"/>
          <w:lang w:eastAsia="pt-PT"/>
        </w:rPr>
        <w:lastRenderedPageBreak/>
        <w:t>Aprovar e implementar uma Política Nacional de Educação Pré-Escolar com definição clara de objectivos, responsabilidades, financiamento e mecanismos de monitoria.</w:t>
      </w:r>
    </w:p>
    <w:p w14:paraId="5A61B3DA" w14:textId="6BA97097" w:rsidR="00442192" w:rsidRPr="00442192" w:rsidRDefault="00442192" w:rsidP="00442192">
      <w:pPr>
        <w:pStyle w:val="ListParagraph"/>
        <w:numPr>
          <w:ilvl w:val="0"/>
          <w:numId w:val="26"/>
        </w:numPr>
        <w:spacing w:before="100" w:beforeAutospacing="1" w:after="100" w:afterAutospacing="1"/>
        <w:jc w:val="both"/>
        <w:rPr>
          <w:rFonts w:ascii="Times New Roman" w:eastAsia="Times New Roman" w:hAnsi="Times New Roman" w:cs="Times New Roman"/>
          <w:lang w:eastAsia="pt-PT"/>
        </w:rPr>
      </w:pPr>
      <w:r w:rsidRPr="00442192">
        <w:rPr>
          <w:rFonts w:ascii="Times New Roman" w:eastAsia="Times New Roman" w:hAnsi="Times New Roman" w:cs="Times New Roman"/>
          <w:lang w:eastAsia="pt-PT"/>
        </w:rPr>
        <w:t>Reforçar a coordenação entre os sectores da Educação e da Acção Social e integrar a Educação Pré-Escolar nos processos regulares de planificação e orçamentação.</w:t>
      </w:r>
    </w:p>
    <w:p w14:paraId="713D9C37" w14:textId="712977FC" w:rsidR="00442192" w:rsidRPr="00442192" w:rsidRDefault="00442192" w:rsidP="00442192">
      <w:pPr>
        <w:pStyle w:val="ListParagraph"/>
        <w:numPr>
          <w:ilvl w:val="0"/>
          <w:numId w:val="26"/>
        </w:numPr>
        <w:spacing w:before="100" w:beforeAutospacing="1" w:after="100" w:afterAutospacing="1"/>
        <w:jc w:val="both"/>
        <w:rPr>
          <w:rFonts w:ascii="Times New Roman" w:eastAsia="Times New Roman" w:hAnsi="Times New Roman" w:cs="Times New Roman"/>
          <w:lang w:eastAsia="pt-PT"/>
        </w:rPr>
      </w:pPr>
      <w:r w:rsidRPr="00442192">
        <w:rPr>
          <w:rFonts w:ascii="Times New Roman" w:eastAsia="Times New Roman" w:hAnsi="Times New Roman" w:cs="Times New Roman"/>
          <w:lang w:eastAsia="pt-PT"/>
        </w:rPr>
        <w:t>Aumentar progressivamente o investimento público, priorizando as zonas rurais e comunidades com menor cobertura.</w:t>
      </w:r>
    </w:p>
    <w:p w14:paraId="639EEB01" w14:textId="4509FCAB" w:rsidR="00442192" w:rsidRPr="00442192" w:rsidRDefault="00442192" w:rsidP="00442192">
      <w:pPr>
        <w:pStyle w:val="ListParagraph"/>
        <w:numPr>
          <w:ilvl w:val="0"/>
          <w:numId w:val="26"/>
        </w:numPr>
        <w:spacing w:before="100" w:beforeAutospacing="1" w:after="100" w:afterAutospacing="1"/>
        <w:jc w:val="both"/>
        <w:rPr>
          <w:rFonts w:ascii="Times New Roman" w:eastAsia="Times New Roman" w:hAnsi="Times New Roman" w:cs="Times New Roman"/>
          <w:lang w:eastAsia="pt-PT"/>
        </w:rPr>
      </w:pPr>
      <w:r w:rsidRPr="00442192">
        <w:rPr>
          <w:rFonts w:ascii="Times New Roman" w:eastAsia="Times New Roman" w:hAnsi="Times New Roman" w:cs="Times New Roman"/>
          <w:lang w:eastAsia="pt-PT"/>
        </w:rPr>
        <w:t>Fortalecer os sistemas de informação, monitoria e avaliação da Educação Pré-Escolar.</w:t>
      </w:r>
    </w:p>
    <w:p w14:paraId="62AA7D79" w14:textId="77777777" w:rsidR="00442192" w:rsidRPr="00442192" w:rsidRDefault="00442192" w:rsidP="00442192">
      <w:pPr>
        <w:spacing w:before="100" w:beforeAutospacing="1" w:after="100" w:afterAutospacing="1"/>
        <w:jc w:val="both"/>
        <w:outlineLvl w:val="2"/>
        <w:rPr>
          <w:rFonts w:ascii="Times New Roman" w:eastAsia="Times New Roman" w:hAnsi="Times New Roman" w:cs="Times New Roman"/>
          <w:b/>
          <w:bCs/>
          <w:lang w:eastAsia="pt-PT"/>
        </w:rPr>
      </w:pPr>
      <w:r w:rsidRPr="00442192">
        <w:rPr>
          <w:rFonts w:ascii="Times New Roman" w:eastAsia="Times New Roman" w:hAnsi="Times New Roman" w:cs="Times New Roman"/>
          <w:b/>
          <w:bCs/>
          <w:lang w:eastAsia="pt-PT"/>
        </w:rPr>
        <w:t>Ao Ministério da Educação e ao Ministério do Género, Criança e Acção Social</w:t>
      </w:r>
    </w:p>
    <w:p w14:paraId="419C6B51" w14:textId="4B8DC79C" w:rsidR="00442192" w:rsidRPr="00442192" w:rsidRDefault="00442192" w:rsidP="00442192">
      <w:pPr>
        <w:pStyle w:val="ListParagraph"/>
        <w:numPr>
          <w:ilvl w:val="0"/>
          <w:numId w:val="27"/>
        </w:numPr>
        <w:spacing w:before="100" w:beforeAutospacing="1" w:after="100" w:afterAutospacing="1"/>
        <w:jc w:val="both"/>
        <w:rPr>
          <w:rFonts w:ascii="Times New Roman" w:eastAsia="Times New Roman" w:hAnsi="Times New Roman" w:cs="Times New Roman"/>
          <w:lang w:eastAsia="pt-PT"/>
        </w:rPr>
      </w:pPr>
      <w:r w:rsidRPr="00442192">
        <w:rPr>
          <w:rFonts w:ascii="Times New Roman" w:eastAsia="Times New Roman" w:hAnsi="Times New Roman" w:cs="Times New Roman"/>
          <w:lang w:eastAsia="pt-PT"/>
        </w:rPr>
        <w:t>Promover a disseminação e utilização dos instrumentos normativos junto dos níveis provinciais, distritais e comunitários.</w:t>
      </w:r>
    </w:p>
    <w:p w14:paraId="28CDCC88" w14:textId="5035B7D9" w:rsidR="00442192" w:rsidRPr="00442192" w:rsidRDefault="00442192" w:rsidP="00442192">
      <w:pPr>
        <w:pStyle w:val="ListParagraph"/>
        <w:numPr>
          <w:ilvl w:val="0"/>
          <w:numId w:val="27"/>
        </w:numPr>
        <w:spacing w:before="100" w:beforeAutospacing="1" w:after="100" w:afterAutospacing="1"/>
        <w:jc w:val="both"/>
        <w:rPr>
          <w:rFonts w:ascii="Times New Roman" w:eastAsia="Times New Roman" w:hAnsi="Times New Roman" w:cs="Times New Roman"/>
          <w:lang w:eastAsia="pt-PT"/>
        </w:rPr>
      </w:pPr>
      <w:r w:rsidRPr="00442192">
        <w:rPr>
          <w:rFonts w:ascii="Times New Roman" w:eastAsia="Times New Roman" w:hAnsi="Times New Roman" w:cs="Times New Roman"/>
          <w:lang w:eastAsia="pt-PT"/>
        </w:rPr>
        <w:t>Reforçar os mecanismos de coordenação intersectorial e os sistemas de supervisão pedagógica.</w:t>
      </w:r>
    </w:p>
    <w:p w14:paraId="7A2C4988" w14:textId="6000429F" w:rsidR="00442192" w:rsidRPr="00442192" w:rsidRDefault="00442192" w:rsidP="00442192">
      <w:pPr>
        <w:pStyle w:val="ListParagraph"/>
        <w:numPr>
          <w:ilvl w:val="0"/>
          <w:numId w:val="27"/>
        </w:numPr>
        <w:spacing w:before="100" w:beforeAutospacing="1" w:after="100" w:afterAutospacing="1"/>
        <w:jc w:val="both"/>
        <w:rPr>
          <w:rFonts w:ascii="Times New Roman" w:eastAsia="Times New Roman" w:hAnsi="Times New Roman" w:cs="Times New Roman"/>
          <w:lang w:eastAsia="pt-PT"/>
        </w:rPr>
      </w:pPr>
      <w:r w:rsidRPr="00442192">
        <w:rPr>
          <w:rFonts w:ascii="Times New Roman" w:eastAsia="Times New Roman" w:hAnsi="Times New Roman" w:cs="Times New Roman"/>
          <w:lang w:eastAsia="pt-PT"/>
        </w:rPr>
        <w:t>Estabelecer padrões mínimos nacionais para infraestruturas, recursos pedagógicos e funcionamento dos serviços.</w:t>
      </w:r>
    </w:p>
    <w:p w14:paraId="100DD53A" w14:textId="77777777" w:rsidR="00442192" w:rsidRPr="00442192" w:rsidRDefault="00442192" w:rsidP="00442192">
      <w:pPr>
        <w:spacing w:before="100" w:beforeAutospacing="1" w:after="100" w:afterAutospacing="1"/>
        <w:jc w:val="both"/>
        <w:outlineLvl w:val="2"/>
        <w:rPr>
          <w:rFonts w:ascii="Times New Roman" w:eastAsia="Times New Roman" w:hAnsi="Times New Roman" w:cs="Times New Roman"/>
          <w:b/>
          <w:bCs/>
          <w:lang w:eastAsia="pt-PT"/>
        </w:rPr>
      </w:pPr>
      <w:r w:rsidRPr="00442192">
        <w:rPr>
          <w:rFonts w:ascii="Times New Roman" w:eastAsia="Times New Roman" w:hAnsi="Times New Roman" w:cs="Times New Roman"/>
          <w:b/>
          <w:bCs/>
          <w:lang w:eastAsia="pt-PT"/>
        </w:rPr>
        <w:t>Aos Parceiros de Cooperação e Organizações da Sociedade Civil</w:t>
      </w:r>
    </w:p>
    <w:p w14:paraId="7DB9DE6B" w14:textId="4387C2F4" w:rsidR="00442192" w:rsidRPr="00442192" w:rsidRDefault="00442192" w:rsidP="00442192">
      <w:pPr>
        <w:pStyle w:val="ListParagraph"/>
        <w:numPr>
          <w:ilvl w:val="0"/>
          <w:numId w:val="28"/>
        </w:numPr>
        <w:spacing w:before="100" w:beforeAutospacing="1" w:after="100" w:afterAutospacing="1"/>
        <w:jc w:val="both"/>
        <w:rPr>
          <w:rFonts w:ascii="Times New Roman" w:eastAsia="Times New Roman" w:hAnsi="Times New Roman" w:cs="Times New Roman"/>
          <w:lang w:eastAsia="pt-PT"/>
        </w:rPr>
      </w:pPr>
      <w:r w:rsidRPr="00442192">
        <w:rPr>
          <w:rFonts w:ascii="Times New Roman" w:eastAsia="Times New Roman" w:hAnsi="Times New Roman" w:cs="Times New Roman"/>
          <w:lang w:eastAsia="pt-PT"/>
        </w:rPr>
        <w:t>Priorizar investimentos que fortaleçam as capacidades institucionais do Estado e garantam sustentabilidade dos serviços.</w:t>
      </w:r>
    </w:p>
    <w:p w14:paraId="5E96B298" w14:textId="50804A44" w:rsidR="00442192" w:rsidRPr="00442192" w:rsidRDefault="00442192" w:rsidP="00442192">
      <w:pPr>
        <w:pStyle w:val="ListParagraph"/>
        <w:numPr>
          <w:ilvl w:val="0"/>
          <w:numId w:val="28"/>
        </w:numPr>
        <w:spacing w:before="100" w:beforeAutospacing="1" w:after="100" w:afterAutospacing="1"/>
        <w:jc w:val="both"/>
        <w:rPr>
          <w:rFonts w:ascii="Times New Roman" w:eastAsia="Times New Roman" w:hAnsi="Times New Roman" w:cs="Times New Roman"/>
          <w:lang w:eastAsia="pt-PT"/>
        </w:rPr>
      </w:pPr>
      <w:r w:rsidRPr="00442192">
        <w:rPr>
          <w:rFonts w:ascii="Times New Roman" w:eastAsia="Times New Roman" w:hAnsi="Times New Roman" w:cs="Times New Roman"/>
          <w:lang w:eastAsia="pt-PT"/>
        </w:rPr>
        <w:t>Apoiar modelos inovadores de expansão da Educação Pré-Escolar, particularmente nas zonas rurais.</w:t>
      </w:r>
    </w:p>
    <w:p w14:paraId="564E57A5" w14:textId="02D939D3" w:rsidR="00442192" w:rsidRPr="00442192" w:rsidRDefault="00442192" w:rsidP="00442192">
      <w:pPr>
        <w:pStyle w:val="ListParagraph"/>
        <w:numPr>
          <w:ilvl w:val="0"/>
          <w:numId w:val="28"/>
        </w:numPr>
        <w:spacing w:before="100" w:beforeAutospacing="1" w:after="100" w:afterAutospacing="1"/>
        <w:jc w:val="both"/>
        <w:rPr>
          <w:rFonts w:ascii="Times New Roman" w:eastAsia="Times New Roman" w:hAnsi="Times New Roman" w:cs="Times New Roman"/>
          <w:lang w:eastAsia="pt-PT"/>
        </w:rPr>
      </w:pPr>
      <w:r w:rsidRPr="00442192">
        <w:rPr>
          <w:rFonts w:ascii="Times New Roman" w:eastAsia="Times New Roman" w:hAnsi="Times New Roman" w:cs="Times New Roman"/>
          <w:lang w:eastAsia="pt-PT"/>
        </w:rPr>
        <w:t>Reforçar a formação de educadores e a produção de evidências para aperfeiçoamento das políticas públicas.</w:t>
      </w:r>
    </w:p>
    <w:p w14:paraId="16853A66" w14:textId="77777777" w:rsidR="00442192" w:rsidRPr="00442192" w:rsidRDefault="00442192" w:rsidP="00442192">
      <w:pPr>
        <w:spacing w:before="100" w:beforeAutospacing="1" w:after="100" w:afterAutospacing="1"/>
        <w:jc w:val="both"/>
        <w:outlineLvl w:val="2"/>
        <w:rPr>
          <w:rFonts w:ascii="Times New Roman" w:eastAsia="Times New Roman" w:hAnsi="Times New Roman" w:cs="Times New Roman"/>
          <w:b/>
          <w:bCs/>
          <w:lang w:eastAsia="pt-PT"/>
        </w:rPr>
      </w:pPr>
      <w:r w:rsidRPr="00442192">
        <w:rPr>
          <w:rFonts w:ascii="Times New Roman" w:eastAsia="Times New Roman" w:hAnsi="Times New Roman" w:cs="Times New Roman"/>
          <w:b/>
          <w:bCs/>
          <w:lang w:eastAsia="pt-PT"/>
        </w:rPr>
        <w:t>Às Instituições de Formação e Investigação</w:t>
      </w:r>
    </w:p>
    <w:p w14:paraId="101E0C49" w14:textId="6EEA8C1D" w:rsidR="00442192" w:rsidRPr="00442192" w:rsidRDefault="00442192" w:rsidP="00442192">
      <w:pPr>
        <w:pStyle w:val="ListParagraph"/>
        <w:numPr>
          <w:ilvl w:val="0"/>
          <w:numId w:val="29"/>
        </w:numPr>
        <w:spacing w:before="100" w:beforeAutospacing="1" w:after="100" w:afterAutospacing="1"/>
        <w:jc w:val="both"/>
        <w:rPr>
          <w:rFonts w:ascii="Times New Roman" w:eastAsia="Times New Roman" w:hAnsi="Times New Roman" w:cs="Times New Roman"/>
          <w:lang w:eastAsia="pt-PT"/>
        </w:rPr>
      </w:pPr>
      <w:r w:rsidRPr="00442192">
        <w:rPr>
          <w:rFonts w:ascii="Times New Roman" w:eastAsia="Times New Roman" w:hAnsi="Times New Roman" w:cs="Times New Roman"/>
          <w:lang w:eastAsia="pt-PT"/>
        </w:rPr>
        <w:t>Expandir a formação inicial e contínua de educadores de infância.</w:t>
      </w:r>
    </w:p>
    <w:p w14:paraId="6BCA0CF5" w14:textId="33B16EF2" w:rsidR="00442192" w:rsidRPr="00442192" w:rsidRDefault="00442192" w:rsidP="00442192">
      <w:pPr>
        <w:pStyle w:val="ListParagraph"/>
        <w:numPr>
          <w:ilvl w:val="0"/>
          <w:numId w:val="29"/>
        </w:numPr>
        <w:spacing w:before="100" w:beforeAutospacing="1" w:after="100" w:afterAutospacing="1"/>
        <w:jc w:val="both"/>
        <w:rPr>
          <w:rFonts w:ascii="Times New Roman" w:eastAsia="Times New Roman" w:hAnsi="Times New Roman" w:cs="Times New Roman"/>
          <w:lang w:eastAsia="pt-PT"/>
        </w:rPr>
      </w:pPr>
      <w:r w:rsidRPr="00442192">
        <w:rPr>
          <w:rFonts w:ascii="Times New Roman" w:eastAsia="Times New Roman" w:hAnsi="Times New Roman" w:cs="Times New Roman"/>
          <w:lang w:eastAsia="pt-PT"/>
        </w:rPr>
        <w:t>Desenvolver pesquisas sobre financiamento, governação, acesso e qualidade da Educação Pré-Escolar.</w:t>
      </w:r>
    </w:p>
    <w:p w14:paraId="415FF4EF" w14:textId="6DDFF8C1" w:rsidR="00442192" w:rsidRPr="00442192" w:rsidRDefault="00442192" w:rsidP="00442192">
      <w:pPr>
        <w:pStyle w:val="ListParagraph"/>
        <w:numPr>
          <w:ilvl w:val="0"/>
          <w:numId w:val="29"/>
        </w:numPr>
        <w:spacing w:before="100" w:beforeAutospacing="1" w:after="100" w:afterAutospacing="1"/>
        <w:jc w:val="both"/>
        <w:rPr>
          <w:rFonts w:ascii="Times New Roman" w:eastAsia="Times New Roman" w:hAnsi="Times New Roman" w:cs="Times New Roman"/>
          <w:lang w:eastAsia="pt-PT"/>
        </w:rPr>
      </w:pPr>
      <w:r w:rsidRPr="00442192">
        <w:rPr>
          <w:rFonts w:ascii="Times New Roman" w:eastAsia="Times New Roman" w:hAnsi="Times New Roman" w:cs="Times New Roman"/>
          <w:lang w:eastAsia="pt-PT"/>
        </w:rPr>
        <w:t>Produzir conhecimento contextualizado sobre práticas pedagógicas adequadas às realidades moçambicanas.</w:t>
      </w:r>
    </w:p>
    <w:p w14:paraId="19445E40" w14:textId="77777777" w:rsidR="00442192" w:rsidRPr="00442192" w:rsidRDefault="00442192" w:rsidP="00442192">
      <w:pPr>
        <w:spacing w:before="100" w:beforeAutospacing="1" w:after="100" w:afterAutospacing="1"/>
        <w:jc w:val="both"/>
        <w:outlineLvl w:val="2"/>
        <w:rPr>
          <w:rFonts w:ascii="Times New Roman" w:eastAsia="Times New Roman" w:hAnsi="Times New Roman" w:cs="Times New Roman"/>
          <w:b/>
          <w:bCs/>
          <w:lang w:eastAsia="pt-PT"/>
        </w:rPr>
      </w:pPr>
      <w:r w:rsidRPr="00442192">
        <w:rPr>
          <w:rFonts w:ascii="Times New Roman" w:eastAsia="Times New Roman" w:hAnsi="Times New Roman" w:cs="Times New Roman"/>
          <w:b/>
          <w:bCs/>
          <w:lang w:eastAsia="pt-PT"/>
        </w:rPr>
        <w:t>Às Comunidades e Lideranças Locais</w:t>
      </w:r>
    </w:p>
    <w:p w14:paraId="6EE08687" w14:textId="49B6A693" w:rsidR="00442192" w:rsidRPr="00442192" w:rsidRDefault="00442192" w:rsidP="00442192">
      <w:pPr>
        <w:pStyle w:val="ListParagraph"/>
        <w:numPr>
          <w:ilvl w:val="0"/>
          <w:numId w:val="30"/>
        </w:numPr>
        <w:spacing w:before="100" w:beforeAutospacing="1" w:after="100" w:afterAutospacing="1"/>
        <w:jc w:val="both"/>
        <w:rPr>
          <w:rFonts w:ascii="Times New Roman" w:eastAsia="Times New Roman" w:hAnsi="Times New Roman" w:cs="Times New Roman"/>
          <w:lang w:eastAsia="pt-PT"/>
        </w:rPr>
      </w:pPr>
      <w:r w:rsidRPr="00442192">
        <w:rPr>
          <w:rFonts w:ascii="Times New Roman" w:eastAsia="Times New Roman" w:hAnsi="Times New Roman" w:cs="Times New Roman"/>
          <w:lang w:eastAsia="pt-PT"/>
        </w:rPr>
        <w:t>Reforçar a participação comunitária na gestão e sustentabilidade das iniciativas de Educação Pré-Escolar.</w:t>
      </w:r>
    </w:p>
    <w:p w14:paraId="3695DB9C" w14:textId="37380E08" w:rsidR="00442192" w:rsidRPr="00442192" w:rsidRDefault="00442192" w:rsidP="00442192">
      <w:pPr>
        <w:pStyle w:val="ListParagraph"/>
        <w:numPr>
          <w:ilvl w:val="0"/>
          <w:numId w:val="30"/>
        </w:numPr>
        <w:spacing w:before="100" w:beforeAutospacing="1" w:after="100" w:afterAutospacing="1"/>
        <w:jc w:val="both"/>
        <w:rPr>
          <w:rFonts w:ascii="Times New Roman" w:eastAsia="Times New Roman" w:hAnsi="Times New Roman" w:cs="Times New Roman"/>
          <w:lang w:eastAsia="pt-PT"/>
        </w:rPr>
      </w:pPr>
      <w:r w:rsidRPr="00442192">
        <w:rPr>
          <w:rFonts w:ascii="Times New Roman" w:eastAsia="Times New Roman" w:hAnsi="Times New Roman" w:cs="Times New Roman"/>
          <w:lang w:eastAsia="pt-PT"/>
        </w:rPr>
        <w:t>Sensibilizar as famílias para a importância da educação da criança nos primeiros anos de vida.</w:t>
      </w:r>
    </w:p>
    <w:p w14:paraId="2E16BF2C" w14:textId="34874982" w:rsidR="00442192" w:rsidRPr="00442192" w:rsidRDefault="00442192" w:rsidP="00442192">
      <w:pPr>
        <w:pStyle w:val="ListParagraph"/>
        <w:numPr>
          <w:ilvl w:val="0"/>
          <w:numId w:val="30"/>
        </w:numPr>
        <w:spacing w:before="100" w:beforeAutospacing="1" w:after="100" w:afterAutospacing="1"/>
        <w:jc w:val="both"/>
        <w:rPr>
          <w:rFonts w:ascii="Times New Roman" w:eastAsia="Times New Roman" w:hAnsi="Times New Roman" w:cs="Times New Roman"/>
          <w:lang w:eastAsia="pt-PT"/>
        </w:rPr>
      </w:pPr>
      <w:r w:rsidRPr="00442192">
        <w:rPr>
          <w:rFonts w:ascii="Times New Roman" w:eastAsia="Times New Roman" w:hAnsi="Times New Roman" w:cs="Times New Roman"/>
          <w:lang w:eastAsia="pt-PT"/>
        </w:rPr>
        <w:t>Fortalecer mecanismos de colaboração entre comunidades, autoridades locais e instituições prestadoras de serviços.</w:t>
      </w:r>
    </w:p>
    <w:p w14:paraId="371D68C6" w14:textId="77777777" w:rsidR="00442192" w:rsidRDefault="00442192" w:rsidP="00442192">
      <w:pPr>
        <w:jc w:val="both"/>
        <w:rPr>
          <w:rFonts w:ascii="Times New Roman" w:eastAsia="Times New Roman" w:hAnsi="Times New Roman" w:cs="Times New Roman"/>
          <w:b/>
          <w:bCs/>
          <w:lang w:val="pt-PT" w:eastAsia="pt-PT"/>
        </w:rPr>
      </w:pPr>
    </w:p>
    <w:p w14:paraId="0654D7B5" w14:textId="48BA88C2" w:rsidR="00163896" w:rsidRPr="00163896" w:rsidRDefault="009B73EA" w:rsidP="00442192">
      <w:pPr>
        <w:jc w:val="both"/>
        <w:rPr>
          <w:rFonts w:ascii="Times New Roman" w:eastAsia="Times New Roman" w:hAnsi="Times New Roman" w:cs="Times New Roman"/>
          <w:b/>
          <w:bCs/>
          <w:lang w:val="pt-PT" w:eastAsia="pt-PT"/>
        </w:rPr>
      </w:pPr>
      <w:r w:rsidRPr="00163896">
        <w:rPr>
          <w:rFonts w:ascii="Times New Roman" w:eastAsia="Times New Roman" w:hAnsi="Times New Roman" w:cs="Times New Roman"/>
          <w:b/>
          <w:bCs/>
          <w:lang w:val="pt-PT" w:eastAsia="pt-PT"/>
        </w:rPr>
        <w:t xml:space="preserve">10. REFERÊNCIAS BIBLIOGRÁFICAS </w:t>
      </w:r>
    </w:p>
    <w:p w14:paraId="72BB2D1C" w14:textId="77777777" w:rsidR="00163896" w:rsidRPr="00163896" w:rsidRDefault="00163896" w:rsidP="00163896">
      <w:pPr>
        <w:spacing w:before="100" w:beforeAutospacing="1" w:after="100" w:afterAutospacing="1" w:line="259" w:lineRule="auto"/>
        <w:contextualSpacing/>
        <w:jc w:val="both"/>
        <w:outlineLvl w:val="2"/>
        <w:rPr>
          <w:rFonts w:ascii="Times New Roman" w:eastAsia="Times New Roman" w:hAnsi="Times New Roman" w:cs="Times New Roman"/>
          <w:b/>
          <w:bCs/>
          <w:lang w:val="pt-PT" w:eastAsia="pt-PT"/>
        </w:rPr>
      </w:pPr>
    </w:p>
    <w:p w14:paraId="5C202006" w14:textId="77777777" w:rsidR="00163896" w:rsidRPr="00163896" w:rsidRDefault="00163896" w:rsidP="00163896">
      <w:pPr>
        <w:ind w:left="720" w:hanging="720"/>
        <w:rPr>
          <w:rFonts w:ascii="Times New Roman" w:hAnsi="Times New Roman" w:cs="Times New Roman"/>
          <w:lang w:val="pt-BR"/>
        </w:rPr>
      </w:pPr>
      <w:r w:rsidRPr="00163896">
        <w:rPr>
          <w:rFonts w:ascii="Times New Roman" w:hAnsi="Times New Roman" w:cs="Times New Roman"/>
          <w:lang w:val="pt-BR"/>
        </w:rPr>
        <w:t>Bardin, L. (2011). Análise de conteúdo. Edições 70.</w:t>
      </w:r>
    </w:p>
    <w:p w14:paraId="57796975" w14:textId="77777777" w:rsidR="00163896" w:rsidRPr="00163896" w:rsidRDefault="00163896" w:rsidP="00163896">
      <w:pPr>
        <w:ind w:left="720" w:hanging="720"/>
        <w:rPr>
          <w:rFonts w:ascii="Times New Roman" w:hAnsi="Times New Roman" w:cs="Times New Roman"/>
        </w:rPr>
      </w:pPr>
      <w:r w:rsidRPr="00163896">
        <w:rPr>
          <w:rFonts w:ascii="Times New Roman" w:hAnsi="Times New Roman" w:cs="Times New Roman"/>
          <w:lang w:val="pt-BR"/>
        </w:rPr>
        <w:lastRenderedPageBreak/>
        <w:t xml:space="preserve">Bronfenbrenner, U. (1996). A ecologia do desenvolvimento humano: Experimentos naturais e planejados. </w:t>
      </w:r>
      <w:r w:rsidRPr="00163896">
        <w:rPr>
          <w:rFonts w:ascii="Times New Roman" w:hAnsi="Times New Roman" w:cs="Times New Roman"/>
        </w:rPr>
        <w:t>Artes Médicas.</w:t>
      </w:r>
    </w:p>
    <w:p w14:paraId="67CFA131" w14:textId="77777777" w:rsidR="00163896" w:rsidRPr="00163896" w:rsidRDefault="00163896" w:rsidP="00163896">
      <w:pPr>
        <w:ind w:left="720" w:hanging="720"/>
        <w:rPr>
          <w:rFonts w:ascii="Times New Roman" w:hAnsi="Times New Roman" w:cs="Times New Roman"/>
        </w:rPr>
      </w:pPr>
      <w:r w:rsidRPr="00163896">
        <w:rPr>
          <w:rFonts w:ascii="Times New Roman" w:hAnsi="Times New Roman" w:cs="Times New Roman"/>
        </w:rPr>
        <w:t>Esping-Andersen, G. (1990). The three worlds of welfare capitalism. Princeton University Press.</w:t>
      </w:r>
    </w:p>
    <w:p w14:paraId="2367C006" w14:textId="77777777" w:rsidR="00163896" w:rsidRPr="00163896" w:rsidRDefault="00163896" w:rsidP="00163896">
      <w:pPr>
        <w:ind w:left="720" w:hanging="720"/>
        <w:rPr>
          <w:rFonts w:ascii="Times New Roman" w:hAnsi="Times New Roman" w:cs="Times New Roman"/>
        </w:rPr>
      </w:pPr>
      <w:r w:rsidRPr="00163896">
        <w:rPr>
          <w:rFonts w:ascii="Times New Roman" w:hAnsi="Times New Roman" w:cs="Times New Roman"/>
        </w:rPr>
        <w:t>Heckman, J. J. (2006). Skill formation and the economics of investing in disadvantaged children. Science, 312(5782), 1900–1902.</w:t>
      </w:r>
    </w:p>
    <w:p w14:paraId="5E3E7D3F" w14:textId="77777777" w:rsidR="00163896" w:rsidRPr="00163896" w:rsidRDefault="00163896" w:rsidP="00163896">
      <w:pPr>
        <w:ind w:left="720" w:hanging="720"/>
        <w:rPr>
          <w:rFonts w:ascii="Times New Roman" w:hAnsi="Times New Roman" w:cs="Times New Roman"/>
        </w:rPr>
      </w:pPr>
      <w:r w:rsidRPr="00163896">
        <w:rPr>
          <w:rFonts w:ascii="Times New Roman" w:hAnsi="Times New Roman" w:cs="Times New Roman"/>
        </w:rPr>
        <w:t>Howlett, M., &amp; Ramesh, M. (2003). Studying public policy: Policy cycles and policy subsystems (2nd ed.). Oxford University Press.</w:t>
      </w:r>
    </w:p>
    <w:p w14:paraId="1E57B647" w14:textId="77777777" w:rsidR="00163896" w:rsidRPr="00163896" w:rsidRDefault="00163896" w:rsidP="00163896">
      <w:pPr>
        <w:ind w:left="720" w:hanging="720"/>
        <w:rPr>
          <w:rFonts w:ascii="Times New Roman" w:hAnsi="Times New Roman" w:cs="Times New Roman"/>
          <w:lang w:val="pt-BR"/>
        </w:rPr>
      </w:pPr>
      <w:r w:rsidRPr="00163896">
        <w:rPr>
          <w:rFonts w:ascii="Times New Roman" w:hAnsi="Times New Roman" w:cs="Times New Roman"/>
        </w:rPr>
        <w:t xml:space="preserve">Marope, P. T. M., &amp; Kaga, Y. (Eds.). (2015). Investing against evidence: The global state of early childhood care and education. </w:t>
      </w:r>
      <w:r w:rsidRPr="00163896">
        <w:rPr>
          <w:rFonts w:ascii="Times New Roman" w:hAnsi="Times New Roman" w:cs="Times New Roman"/>
          <w:lang w:val="pt-BR"/>
        </w:rPr>
        <w:t>UNESCO Publishing.</w:t>
      </w:r>
    </w:p>
    <w:p w14:paraId="25F873D9" w14:textId="77777777" w:rsidR="00163896" w:rsidRPr="00163896" w:rsidRDefault="00163896" w:rsidP="00163896">
      <w:pPr>
        <w:ind w:left="720" w:hanging="720"/>
        <w:rPr>
          <w:rFonts w:ascii="Times New Roman" w:hAnsi="Times New Roman" w:cs="Times New Roman"/>
        </w:rPr>
      </w:pPr>
      <w:r w:rsidRPr="00163896">
        <w:rPr>
          <w:rFonts w:ascii="Times New Roman" w:hAnsi="Times New Roman" w:cs="Times New Roman"/>
          <w:lang w:val="pt-BR"/>
        </w:rPr>
        <w:t xml:space="preserve">Moçambique. (2018). Lei n.º 18/2018, de 28 de Dezembro: Sistema Nacional de Educação. </w:t>
      </w:r>
      <w:r w:rsidRPr="00163896">
        <w:rPr>
          <w:rFonts w:ascii="Times New Roman" w:hAnsi="Times New Roman" w:cs="Times New Roman"/>
        </w:rPr>
        <w:t>Boletim da República.</w:t>
      </w:r>
    </w:p>
    <w:p w14:paraId="47810C32" w14:textId="77777777" w:rsidR="00163896" w:rsidRPr="00163896" w:rsidRDefault="00163896" w:rsidP="00163896">
      <w:pPr>
        <w:ind w:left="720" w:hanging="720"/>
        <w:rPr>
          <w:rFonts w:ascii="Times New Roman" w:hAnsi="Times New Roman" w:cs="Times New Roman"/>
        </w:rPr>
      </w:pPr>
      <w:r w:rsidRPr="00163896">
        <w:rPr>
          <w:rFonts w:ascii="Times New Roman" w:hAnsi="Times New Roman" w:cs="Times New Roman"/>
        </w:rPr>
        <w:t>Nsamenang, A. B. (1992). Human development in cultural context: A Third World perspective. Sage Publications.</w:t>
      </w:r>
    </w:p>
    <w:p w14:paraId="3CBDB521" w14:textId="77777777" w:rsidR="00163896" w:rsidRPr="00163896" w:rsidRDefault="00163896" w:rsidP="00163896">
      <w:pPr>
        <w:ind w:left="720" w:hanging="720"/>
        <w:rPr>
          <w:rFonts w:ascii="Times New Roman" w:hAnsi="Times New Roman" w:cs="Times New Roman"/>
        </w:rPr>
      </w:pPr>
      <w:r w:rsidRPr="00163896">
        <w:rPr>
          <w:rFonts w:ascii="Times New Roman" w:hAnsi="Times New Roman" w:cs="Times New Roman"/>
        </w:rPr>
        <w:t>Nsamenang, A. B. (2008). (Mis)understanding ECD in Africa. In M. Garcia, A. Pence, &amp; J. L. Evans (Eds.), Africa's future, Africa's challenge: Early childhood care and development in Sub-Saharan Africa (pp. 135–149). World Bank.</w:t>
      </w:r>
    </w:p>
    <w:p w14:paraId="54DA7A18" w14:textId="77777777" w:rsidR="00163896" w:rsidRPr="00163896" w:rsidRDefault="00163896" w:rsidP="00163896">
      <w:pPr>
        <w:ind w:left="720" w:hanging="720"/>
        <w:rPr>
          <w:rFonts w:ascii="Times New Roman" w:hAnsi="Times New Roman" w:cs="Times New Roman"/>
        </w:rPr>
      </w:pPr>
      <w:r w:rsidRPr="00163896">
        <w:rPr>
          <w:rFonts w:ascii="Times New Roman" w:hAnsi="Times New Roman" w:cs="Times New Roman"/>
        </w:rPr>
        <w:t>OECD. (2017). Starting strong 2017: Key OECD indicators on early childhood education and care. OECD Publishing.</w:t>
      </w:r>
    </w:p>
    <w:p w14:paraId="5C8AD304" w14:textId="77777777" w:rsidR="00163896" w:rsidRPr="00163896" w:rsidRDefault="00163896" w:rsidP="00163896">
      <w:pPr>
        <w:ind w:left="720" w:hanging="720"/>
        <w:rPr>
          <w:rFonts w:ascii="Times New Roman" w:hAnsi="Times New Roman" w:cs="Times New Roman"/>
        </w:rPr>
      </w:pPr>
      <w:r w:rsidRPr="00163896">
        <w:rPr>
          <w:rFonts w:ascii="Times New Roman" w:hAnsi="Times New Roman" w:cs="Times New Roman"/>
        </w:rPr>
        <w:t>Organização das Nações Unidas (ONU). (2015). Transforming our world: The 2030 agenda for sustainable development.</w:t>
      </w:r>
    </w:p>
    <w:p w14:paraId="54CE3AA9" w14:textId="77777777" w:rsidR="00163896" w:rsidRPr="00163896" w:rsidRDefault="00163896" w:rsidP="00163896">
      <w:pPr>
        <w:ind w:left="720" w:hanging="720"/>
        <w:rPr>
          <w:rFonts w:ascii="Times New Roman" w:hAnsi="Times New Roman" w:cs="Times New Roman"/>
          <w:lang w:val="pt-BR"/>
        </w:rPr>
      </w:pPr>
      <w:r w:rsidRPr="00163896">
        <w:rPr>
          <w:rFonts w:ascii="Times New Roman" w:hAnsi="Times New Roman" w:cs="Times New Roman"/>
        </w:rPr>
        <w:t xml:space="preserve">Pence, A. R., &amp; Marfo, K. (2008). Early childhood development in Africa: Interrogating constraints of prevailing knowledge bases. </w:t>
      </w:r>
      <w:r w:rsidRPr="00163896">
        <w:rPr>
          <w:rFonts w:ascii="Times New Roman" w:hAnsi="Times New Roman" w:cs="Times New Roman"/>
          <w:lang w:val="pt-BR"/>
        </w:rPr>
        <w:t>International Journal of Psychology, 43(2), 78–87.</w:t>
      </w:r>
    </w:p>
    <w:p w14:paraId="06AD490E" w14:textId="77777777" w:rsidR="00163896" w:rsidRPr="00163896" w:rsidRDefault="00163896" w:rsidP="00163896">
      <w:pPr>
        <w:ind w:left="720" w:hanging="720"/>
        <w:rPr>
          <w:rFonts w:ascii="Times New Roman" w:hAnsi="Times New Roman" w:cs="Times New Roman"/>
          <w:lang w:val="pt-BR"/>
        </w:rPr>
      </w:pPr>
      <w:r w:rsidRPr="00163896">
        <w:rPr>
          <w:rFonts w:ascii="Times New Roman" w:hAnsi="Times New Roman" w:cs="Times New Roman"/>
          <w:lang w:val="pt-BR"/>
        </w:rPr>
        <w:t>Pinto, A. (2020). A educação pré-escolar em Moçambique: A contribuição dos actores não estatais [Dissertação de mestrado, ISCTE – Instituto Universitário de Lisboa].</w:t>
      </w:r>
    </w:p>
    <w:p w14:paraId="40D84187" w14:textId="77777777" w:rsidR="00163896" w:rsidRPr="00163896" w:rsidRDefault="00163896" w:rsidP="00163896">
      <w:pPr>
        <w:ind w:left="720" w:hanging="720"/>
        <w:rPr>
          <w:rFonts w:ascii="Times New Roman" w:hAnsi="Times New Roman" w:cs="Times New Roman"/>
        </w:rPr>
      </w:pPr>
      <w:r w:rsidRPr="00163896">
        <w:rPr>
          <w:rFonts w:ascii="Times New Roman" w:hAnsi="Times New Roman" w:cs="Times New Roman"/>
        </w:rPr>
        <w:t>Qvortrup, J., Bardy, M., Sgritta, G., &amp; Wintersberger, H. (Eds.). (1994). Childhood matters: Social theory, practice and politics. Avebury.</w:t>
      </w:r>
    </w:p>
    <w:p w14:paraId="4356AEA9" w14:textId="77777777" w:rsidR="00163896" w:rsidRPr="00163896" w:rsidRDefault="00163896" w:rsidP="00163896">
      <w:pPr>
        <w:ind w:left="720" w:hanging="720"/>
        <w:rPr>
          <w:rFonts w:ascii="Times New Roman" w:hAnsi="Times New Roman" w:cs="Times New Roman"/>
          <w:lang w:val="pt-BR"/>
        </w:rPr>
      </w:pPr>
      <w:r w:rsidRPr="00163896">
        <w:rPr>
          <w:rFonts w:ascii="Times New Roman" w:hAnsi="Times New Roman" w:cs="Times New Roman"/>
        </w:rPr>
        <w:t xml:space="preserve">Rafael, G. D., Tembe, T. A., &amp; Gomundanhe, A. M. (2025). </w:t>
      </w:r>
      <w:r w:rsidRPr="00163896">
        <w:rPr>
          <w:rFonts w:ascii="Times New Roman" w:hAnsi="Times New Roman" w:cs="Times New Roman"/>
          <w:lang w:val="pt-BR"/>
        </w:rPr>
        <w:t>A educação infantil em Moçambique em teses, dissertações e artigos: Um estado do conhecimento. Educação em Foco, 28(56), 1–25. https://doi.org/10.36704/eef.v28i56.9871</w:t>
      </w:r>
    </w:p>
    <w:p w14:paraId="6F776255" w14:textId="77777777" w:rsidR="00163896" w:rsidRPr="00163896" w:rsidRDefault="00163896" w:rsidP="00163896">
      <w:pPr>
        <w:ind w:left="720" w:hanging="720"/>
        <w:rPr>
          <w:rFonts w:ascii="Times New Roman" w:hAnsi="Times New Roman" w:cs="Times New Roman"/>
          <w:lang w:val="pt-BR"/>
        </w:rPr>
      </w:pPr>
      <w:r w:rsidRPr="00163896">
        <w:rPr>
          <w:rFonts w:ascii="Times New Roman" w:hAnsi="Times New Roman" w:cs="Times New Roman"/>
          <w:lang w:val="pt-BR"/>
        </w:rPr>
        <w:t>Rede para o Desenvolvimento da Primeira Infância (RDPI). (2023). Relatório sobre o estado do desenvolvimento da primeira infância em Moçambique.</w:t>
      </w:r>
    </w:p>
    <w:p w14:paraId="52044805" w14:textId="77777777" w:rsidR="00163896" w:rsidRPr="00163896" w:rsidRDefault="00163896" w:rsidP="00163896">
      <w:pPr>
        <w:ind w:left="720" w:hanging="720"/>
        <w:rPr>
          <w:rFonts w:ascii="Times New Roman" w:hAnsi="Times New Roman" w:cs="Times New Roman"/>
        </w:rPr>
      </w:pPr>
      <w:r w:rsidRPr="00163896">
        <w:rPr>
          <w:rFonts w:ascii="Times New Roman" w:hAnsi="Times New Roman" w:cs="Times New Roman"/>
        </w:rPr>
        <w:t>Shonkoff, J. P., &amp; Phillips, D. A. (2000). From neurons to neighborhoods: The science of early childhood development. National Academy Press.</w:t>
      </w:r>
    </w:p>
    <w:p w14:paraId="094BCC73" w14:textId="77777777" w:rsidR="00163896" w:rsidRPr="00163896" w:rsidRDefault="00163896" w:rsidP="00163896">
      <w:pPr>
        <w:ind w:left="720" w:hanging="720"/>
        <w:rPr>
          <w:rFonts w:ascii="Times New Roman" w:hAnsi="Times New Roman" w:cs="Times New Roman"/>
        </w:rPr>
      </w:pPr>
      <w:r w:rsidRPr="00163896">
        <w:rPr>
          <w:rFonts w:ascii="Times New Roman" w:hAnsi="Times New Roman" w:cs="Times New Roman"/>
        </w:rPr>
        <w:t>Titmuss, R. M. (1974). Social policy: An introduction. Allen &amp; Unwin.</w:t>
      </w:r>
    </w:p>
    <w:p w14:paraId="3BEF0915" w14:textId="77777777" w:rsidR="00163896" w:rsidRPr="00163896" w:rsidRDefault="00163896" w:rsidP="00163896">
      <w:pPr>
        <w:ind w:left="720" w:hanging="720"/>
        <w:rPr>
          <w:rFonts w:ascii="Times New Roman" w:hAnsi="Times New Roman" w:cs="Times New Roman"/>
        </w:rPr>
      </w:pPr>
      <w:r w:rsidRPr="00163896">
        <w:rPr>
          <w:rFonts w:ascii="Times New Roman" w:hAnsi="Times New Roman" w:cs="Times New Roman"/>
        </w:rPr>
        <w:t>UNESCO. (2021). Right to pre-primary education: A global study.</w:t>
      </w:r>
    </w:p>
    <w:p w14:paraId="5C3C3209" w14:textId="77777777" w:rsidR="00163896" w:rsidRPr="00163896" w:rsidRDefault="00163896" w:rsidP="00163896">
      <w:pPr>
        <w:ind w:left="720" w:hanging="720"/>
        <w:rPr>
          <w:rFonts w:ascii="Times New Roman" w:hAnsi="Times New Roman" w:cs="Times New Roman"/>
        </w:rPr>
      </w:pPr>
      <w:r w:rsidRPr="00163896">
        <w:rPr>
          <w:rFonts w:ascii="Times New Roman" w:hAnsi="Times New Roman" w:cs="Times New Roman"/>
        </w:rPr>
        <w:lastRenderedPageBreak/>
        <w:t>UNICEF, World Health Organization, &amp; World Bank Group. (2018). Nurturing care framework for early childhood development: A framework for helping children survive and thrive to transform health and human potential. World Health Organization.</w:t>
      </w:r>
    </w:p>
    <w:p w14:paraId="6681DBBE" w14:textId="77777777" w:rsidR="00163896" w:rsidRPr="00163896" w:rsidRDefault="00163896" w:rsidP="00C46AB6">
      <w:pPr>
        <w:spacing w:before="100" w:beforeAutospacing="1" w:after="100" w:afterAutospacing="1"/>
        <w:jc w:val="both"/>
        <w:outlineLvl w:val="2"/>
        <w:rPr>
          <w:rFonts w:ascii="Times New Roman" w:hAnsi="Times New Roman" w:cs="Times New Roman"/>
        </w:rPr>
      </w:pPr>
    </w:p>
    <w:sectPr w:rsidR="00163896" w:rsidRPr="00163896" w:rsidSect="004907E2">
      <w:headerReference w:type="even" r:id="rId8"/>
      <w:headerReference w:type="default" r:id="rId9"/>
      <w:footnotePr>
        <w:numRestart w:val="eachSect"/>
      </w:footnotePr>
      <w:pgSz w:w="12240" w:h="15840"/>
      <w:pgMar w:top="1276" w:right="1440" w:bottom="851" w:left="144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7FC35E3" w14:textId="77777777" w:rsidR="00384136" w:rsidRDefault="00384136" w:rsidP="00AC46E3">
      <w:pPr>
        <w:spacing w:after="0"/>
      </w:pPr>
      <w:r>
        <w:separator/>
      </w:r>
    </w:p>
  </w:endnote>
  <w:endnote w:type="continuationSeparator" w:id="0">
    <w:p w14:paraId="42FA87DA" w14:textId="77777777" w:rsidR="00384136" w:rsidRDefault="00384136" w:rsidP="00AC46E3">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altName w:val="Times New Roman PSMT"/>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34959BF" w14:textId="77777777" w:rsidR="00384136" w:rsidRDefault="00384136" w:rsidP="00AC46E3">
      <w:pPr>
        <w:spacing w:after="0"/>
      </w:pPr>
      <w:r>
        <w:separator/>
      </w:r>
    </w:p>
  </w:footnote>
  <w:footnote w:type="continuationSeparator" w:id="0">
    <w:p w14:paraId="3F9424D8" w14:textId="77777777" w:rsidR="00384136" w:rsidRDefault="00384136" w:rsidP="00AC46E3">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39138315"/>
      <w:docPartObj>
        <w:docPartGallery w:val="Page Numbers (Top of Page)"/>
        <w:docPartUnique/>
      </w:docPartObj>
    </w:sdtPr>
    <w:sdtEndPr>
      <w:rPr>
        <w:rStyle w:val="PageNumber"/>
      </w:rPr>
    </w:sdtEndPr>
    <w:sdtContent>
      <w:p w14:paraId="4BF4922F" w14:textId="07C46528" w:rsidR="00163896" w:rsidRDefault="00163896" w:rsidP="008726C2">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BD816EF" w14:textId="77777777" w:rsidR="00163896" w:rsidRDefault="00163896" w:rsidP="00163896">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391658770"/>
      <w:docPartObj>
        <w:docPartGallery w:val="Page Numbers (Top of Page)"/>
        <w:docPartUnique/>
      </w:docPartObj>
    </w:sdtPr>
    <w:sdtEndPr>
      <w:rPr>
        <w:rStyle w:val="PageNumber"/>
      </w:rPr>
    </w:sdtEndPr>
    <w:sdtContent>
      <w:p w14:paraId="344D814C" w14:textId="706DCDFB" w:rsidR="00163896" w:rsidRDefault="00163896" w:rsidP="008726C2">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FD627A">
          <w:rPr>
            <w:rStyle w:val="PageNumber"/>
            <w:noProof/>
          </w:rPr>
          <w:t>1</w:t>
        </w:r>
        <w:r>
          <w:rPr>
            <w:rStyle w:val="PageNumber"/>
          </w:rPr>
          <w:fldChar w:fldCharType="end"/>
        </w:r>
      </w:p>
    </w:sdtContent>
  </w:sdt>
  <w:p w14:paraId="6B123378" w14:textId="77777777" w:rsidR="00163896" w:rsidRDefault="00163896" w:rsidP="00163896">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A990"/>
    <w:multiLevelType w:val="multilevel"/>
    <w:tmpl w:val="7FE879DC"/>
    <w:lvl w:ilvl="0">
      <w:numFmt w:val="bullet"/>
      <w:lvlText w:val=" "/>
      <w:lvlJc w:val="left"/>
      <w:pPr>
        <w:ind w:left="720" w:hanging="360"/>
      </w:pPr>
    </w:lvl>
    <w:lvl w:ilvl="1">
      <w:numFmt w:val="bullet"/>
      <w:lvlText w:val=" "/>
      <w:lvlJc w:val="left"/>
      <w:pPr>
        <w:ind w:left="1440" w:hanging="360"/>
      </w:pPr>
    </w:lvl>
    <w:lvl w:ilvl="2">
      <w:numFmt w:val="bullet"/>
      <w:lvlText w:val=" "/>
      <w:lvlJc w:val="left"/>
      <w:pPr>
        <w:ind w:left="2160" w:hanging="360"/>
      </w:pPr>
    </w:lvl>
    <w:lvl w:ilvl="3">
      <w:numFmt w:val="bullet"/>
      <w:lvlText w:val=" "/>
      <w:lvlJc w:val="left"/>
      <w:pPr>
        <w:ind w:left="2880" w:hanging="360"/>
      </w:pPr>
    </w:lvl>
    <w:lvl w:ilvl="4">
      <w:numFmt w:val="bullet"/>
      <w:lvlText w:val=" "/>
      <w:lvlJc w:val="left"/>
      <w:pPr>
        <w:ind w:left="3600" w:hanging="360"/>
      </w:pPr>
    </w:lvl>
    <w:lvl w:ilvl="5">
      <w:numFmt w:val="bullet"/>
      <w:lvlText w:val=" "/>
      <w:lvlJc w:val="left"/>
      <w:pPr>
        <w:ind w:left="4320" w:hanging="360"/>
      </w:pPr>
    </w:lvl>
    <w:lvl w:ilvl="6">
      <w:numFmt w:val="bullet"/>
      <w:lvlText w:val=" "/>
      <w:lvlJc w:val="left"/>
      <w:pPr>
        <w:ind w:left="5040" w:hanging="360"/>
      </w:pPr>
    </w:lvl>
    <w:lvl w:ilvl="7">
      <w:numFmt w:val="bullet"/>
      <w:lvlText w:val=" "/>
      <w:lvlJc w:val="left"/>
      <w:pPr>
        <w:ind w:left="5760" w:hanging="360"/>
      </w:pPr>
    </w:lvl>
    <w:lvl w:ilvl="8">
      <w:numFmt w:val="bullet"/>
      <w:lvlText w:val=" "/>
      <w:lvlJc w:val="left"/>
      <w:pPr>
        <w:ind w:left="6480" w:hanging="360"/>
      </w:pPr>
    </w:lvl>
  </w:abstractNum>
  <w:abstractNum w:abstractNumId="1">
    <w:nsid w:val="05083CC9"/>
    <w:multiLevelType w:val="hybridMultilevel"/>
    <w:tmpl w:val="4D90EED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
    <w:nsid w:val="08195434"/>
    <w:multiLevelType w:val="multilevel"/>
    <w:tmpl w:val="186E7C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84C7BB8"/>
    <w:multiLevelType w:val="multilevel"/>
    <w:tmpl w:val="40C09AA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7BB203C"/>
    <w:multiLevelType w:val="multilevel"/>
    <w:tmpl w:val="8B9C82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FD0214B"/>
    <w:multiLevelType w:val="multilevel"/>
    <w:tmpl w:val="EBFCCE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3AC386F"/>
    <w:multiLevelType w:val="multilevel"/>
    <w:tmpl w:val="7C7884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B2E43B6"/>
    <w:multiLevelType w:val="hybridMultilevel"/>
    <w:tmpl w:val="CE9A70CA"/>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8">
    <w:nsid w:val="340F5267"/>
    <w:multiLevelType w:val="multilevel"/>
    <w:tmpl w:val="192624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34915DFF"/>
    <w:multiLevelType w:val="multilevel"/>
    <w:tmpl w:val="97EA97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350D7B8B"/>
    <w:multiLevelType w:val="multilevel"/>
    <w:tmpl w:val="91A4AC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6464DC3"/>
    <w:multiLevelType w:val="multilevel"/>
    <w:tmpl w:val="D3A28D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FCA6139"/>
    <w:multiLevelType w:val="multilevel"/>
    <w:tmpl w:val="0262A3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44565949"/>
    <w:multiLevelType w:val="hybridMultilevel"/>
    <w:tmpl w:val="3708B684"/>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4">
    <w:nsid w:val="451B56D3"/>
    <w:multiLevelType w:val="hybridMultilevel"/>
    <w:tmpl w:val="6D22099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5">
    <w:nsid w:val="50D95406"/>
    <w:multiLevelType w:val="multilevel"/>
    <w:tmpl w:val="6D9C5DB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511E3FE7"/>
    <w:multiLevelType w:val="multilevel"/>
    <w:tmpl w:val="8BDE30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52152FCB"/>
    <w:multiLevelType w:val="multilevel"/>
    <w:tmpl w:val="6F628C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537D1AC9"/>
    <w:multiLevelType w:val="multilevel"/>
    <w:tmpl w:val="ACC4873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nsid w:val="5DC926A8"/>
    <w:multiLevelType w:val="multilevel"/>
    <w:tmpl w:val="8D6E2C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5F3B19D5"/>
    <w:multiLevelType w:val="multilevel"/>
    <w:tmpl w:val="529448F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6092073B"/>
    <w:multiLevelType w:val="multilevel"/>
    <w:tmpl w:val="43F0A7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628B2DF1"/>
    <w:multiLevelType w:val="hybridMultilevel"/>
    <w:tmpl w:val="7EC83B4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3">
    <w:nsid w:val="6E7668F7"/>
    <w:multiLevelType w:val="multilevel"/>
    <w:tmpl w:val="2222F1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6F2F22B3"/>
    <w:multiLevelType w:val="multilevel"/>
    <w:tmpl w:val="BF1061D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726B52BB"/>
    <w:multiLevelType w:val="multilevel"/>
    <w:tmpl w:val="13B0B2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75686C51"/>
    <w:multiLevelType w:val="multilevel"/>
    <w:tmpl w:val="4F303F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76167539"/>
    <w:multiLevelType w:val="multilevel"/>
    <w:tmpl w:val="BB24E7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7674233D"/>
    <w:multiLevelType w:val="multilevel"/>
    <w:tmpl w:val="01C6523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79EA680C"/>
    <w:multiLevelType w:val="multilevel"/>
    <w:tmpl w:val="BF6E95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6"/>
  </w:num>
  <w:num w:numId="3">
    <w:abstractNumId w:val="26"/>
  </w:num>
  <w:num w:numId="4">
    <w:abstractNumId w:val="16"/>
  </w:num>
  <w:num w:numId="5">
    <w:abstractNumId w:val="11"/>
  </w:num>
  <w:num w:numId="6">
    <w:abstractNumId w:val="12"/>
  </w:num>
  <w:num w:numId="7">
    <w:abstractNumId w:val="21"/>
  </w:num>
  <w:num w:numId="8">
    <w:abstractNumId w:val="10"/>
  </w:num>
  <w:num w:numId="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num>
  <w:num w:numId="11">
    <w:abstractNumId w:val="23"/>
  </w:num>
  <w:num w:numId="12">
    <w:abstractNumId w:val="27"/>
  </w:num>
  <w:num w:numId="13">
    <w:abstractNumId w:val="25"/>
  </w:num>
  <w:num w:numId="14">
    <w:abstractNumId w:val="19"/>
  </w:num>
  <w:num w:numId="15">
    <w:abstractNumId w:val="3"/>
  </w:num>
  <w:num w:numId="16">
    <w:abstractNumId w:val="24"/>
  </w:num>
  <w:num w:numId="17">
    <w:abstractNumId w:val="15"/>
  </w:num>
  <w:num w:numId="18">
    <w:abstractNumId w:val="28"/>
  </w:num>
  <w:num w:numId="19">
    <w:abstractNumId w:val="9"/>
  </w:num>
  <w:num w:numId="20">
    <w:abstractNumId w:val="20"/>
  </w:num>
  <w:num w:numId="21">
    <w:abstractNumId w:val="4"/>
  </w:num>
  <w:num w:numId="22">
    <w:abstractNumId w:val="17"/>
  </w:num>
  <w:num w:numId="23">
    <w:abstractNumId w:val="29"/>
  </w:num>
  <w:num w:numId="24">
    <w:abstractNumId w:val="8"/>
  </w:num>
  <w:num w:numId="25">
    <w:abstractNumId w:val="2"/>
  </w:num>
  <w:num w:numId="26">
    <w:abstractNumId w:val="7"/>
  </w:num>
  <w:num w:numId="27">
    <w:abstractNumId w:val="1"/>
  </w:num>
  <w:num w:numId="28">
    <w:abstractNumId w:val="22"/>
  </w:num>
  <w:num w:numId="29">
    <w:abstractNumId w:val="13"/>
  </w:num>
  <w:num w:numId="3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5"/>
  <w:embedSystemFonts/>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360"/>
  <w:drawingGridVerticalSpacing w:val="360"/>
  <w:displayHorizontalDrawingGridEvery w:val="0"/>
  <w:displayVerticalDrawingGridEvery w:val="0"/>
  <w:characterSpacingControl w:val="doNotCompress"/>
  <w:footnotePr>
    <w:numRestart w:val="eachSec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424B"/>
    <w:rsid w:val="00046D55"/>
    <w:rsid w:val="00094579"/>
    <w:rsid w:val="000C57FC"/>
    <w:rsid w:val="000D4E5B"/>
    <w:rsid w:val="00163896"/>
    <w:rsid w:val="001E55E1"/>
    <w:rsid w:val="00210A72"/>
    <w:rsid w:val="00325B23"/>
    <w:rsid w:val="00384136"/>
    <w:rsid w:val="00442192"/>
    <w:rsid w:val="00490099"/>
    <w:rsid w:val="004907E2"/>
    <w:rsid w:val="004E1344"/>
    <w:rsid w:val="004F2E26"/>
    <w:rsid w:val="00567347"/>
    <w:rsid w:val="005C59C2"/>
    <w:rsid w:val="005E1D7C"/>
    <w:rsid w:val="005F7DBA"/>
    <w:rsid w:val="00661DAA"/>
    <w:rsid w:val="006A571D"/>
    <w:rsid w:val="006C48D5"/>
    <w:rsid w:val="006C7ABC"/>
    <w:rsid w:val="006E482B"/>
    <w:rsid w:val="00757221"/>
    <w:rsid w:val="007D38F1"/>
    <w:rsid w:val="008011BE"/>
    <w:rsid w:val="00803BDF"/>
    <w:rsid w:val="00805DA4"/>
    <w:rsid w:val="008936DA"/>
    <w:rsid w:val="008A287D"/>
    <w:rsid w:val="008D114A"/>
    <w:rsid w:val="008D705C"/>
    <w:rsid w:val="00903ED6"/>
    <w:rsid w:val="00952174"/>
    <w:rsid w:val="00956F3D"/>
    <w:rsid w:val="009A6DE8"/>
    <w:rsid w:val="009B73EA"/>
    <w:rsid w:val="009E2BAF"/>
    <w:rsid w:val="00A14899"/>
    <w:rsid w:val="00A44B79"/>
    <w:rsid w:val="00AC46E3"/>
    <w:rsid w:val="00B24436"/>
    <w:rsid w:val="00B519ED"/>
    <w:rsid w:val="00C027D8"/>
    <w:rsid w:val="00C46AB6"/>
    <w:rsid w:val="00C478B1"/>
    <w:rsid w:val="00CE09D8"/>
    <w:rsid w:val="00D0299C"/>
    <w:rsid w:val="00D16DC1"/>
    <w:rsid w:val="00D30A0F"/>
    <w:rsid w:val="00D326B0"/>
    <w:rsid w:val="00D32BE1"/>
    <w:rsid w:val="00D37CDC"/>
    <w:rsid w:val="00DB45FF"/>
    <w:rsid w:val="00DF2A46"/>
    <w:rsid w:val="00E17F0D"/>
    <w:rsid w:val="00E23AAB"/>
    <w:rsid w:val="00EF0703"/>
    <w:rsid w:val="00EF424B"/>
    <w:rsid w:val="00F65E26"/>
    <w:rsid w:val="00FD627A"/>
    <w:rsid w:val="00FE472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96F9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267">
    <w:lsdException w:name="Strong" w:uiPriority="22" w:qFormat="1"/>
    <w:lsdException w:name="Emphasis" w:uiPriority="20"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atentStyles>
  <w:style w:type="paragraph" w:default="1" w:styleId="Normal">
    <w:name w:val="Normal"/>
    <w:qFormat/>
  </w:style>
  <w:style w:type="paragraph" w:styleId="Heading1">
    <w:name w:val="heading 1"/>
    <w:basedOn w:val="Normal"/>
    <w:next w:val="BodyText"/>
    <w:link w:val="Heading1Char"/>
    <w:uiPriority w:val="9"/>
    <w:qFormat/>
    <w:rsid w:val="00A10FD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BodyText"/>
    <w:link w:val="Heading2Char"/>
    <w:uiPriority w:val="9"/>
    <w:unhideWhenUsed/>
    <w:qFormat/>
    <w:rsid w:val="00A10FD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BodyText"/>
    <w:link w:val="Heading3Char"/>
    <w:uiPriority w:val="9"/>
    <w:unhideWhenUsed/>
    <w:qFormat/>
    <w:rsid w:val="00A10FD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BodyText"/>
    <w:link w:val="Heading4Char"/>
    <w:uiPriority w:val="9"/>
    <w:semiHidden/>
    <w:unhideWhenUsed/>
    <w:qFormat/>
    <w:rsid w:val="00A10FD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BodyText"/>
    <w:link w:val="Heading5Char"/>
    <w:uiPriority w:val="9"/>
    <w:semiHidden/>
    <w:unhideWhenUsed/>
    <w:qFormat/>
    <w:rsid w:val="00A10FD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BodyText"/>
    <w:link w:val="Heading6Char"/>
    <w:uiPriority w:val="9"/>
    <w:semiHidden/>
    <w:unhideWhenUsed/>
    <w:qFormat/>
    <w:rsid w:val="00A10FD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BodyText"/>
    <w:link w:val="Heading7Char"/>
    <w:uiPriority w:val="9"/>
    <w:semiHidden/>
    <w:unhideWhenUsed/>
    <w:qFormat/>
    <w:rsid w:val="00A10FD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BodyText"/>
    <w:link w:val="Heading8Char"/>
    <w:uiPriority w:val="9"/>
    <w:semiHidden/>
    <w:unhideWhenUsed/>
    <w:qFormat/>
    <w:rsid w:val="00A10FD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BodyText"/>
    <w:link w:val="Heading9Char"/>
    <w:uiPriority w:val="9"/>
    <w:semiHidden/>
    <w:unhideWhenUsed/>
    <w:qFormat/>
    <w:rsid w:val="00A10FD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qFormat/>
    <w:pPr>
      <w:spacing w:before="180" w:after="180"/>
    </w:pPr>
  </w:style>
  <w:style w:type="paragraph" w:customStyle="1" w:styleId="FirstParagraph">
    <w:name w:val="First Paragraph"/>
    <w:basedOn w:val="BodyText"/>
    <w:next w:val="BodyText"/>
    <w:qFormat/>
  </w:style>
  <w:style w:type="paragraph" w:customStyle="1" w:styleId="Compact">
    <w:name w:val="Compact"/>
    <w:basedOn w:val="BodyText"/>
    <w:qFormat/>
    <w:pPr>
      <w:spacing w:before="36" w:after="36"/>
    </w:pPr>
  </w:style>
  <w:style w:type="paragraph" w:styleId="Title">
    <w:name w:val="Title"/>
    <w:basedOn w:val="Normal"/>
    <w:next w:val="BodyText"/>
    <w:link w:val="TitleChar"/>
    <w:uiPriority w:val="10"/>
    <w:qFormat/>
    <w:rsid w:val="00A10FD9"/>
    <w:pPr>
      <w:spacing w:after="80"/>
      <w:contextualSpacing/>
      <w:jc w:val="center"/>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10FD9"/>
    <w:rPr>
      <w:rFonts w:asciiTheme="majorHAnsi" w:eastAsiaTheme="majorEastAsia" w:hAnsiTheme="majorHAnsi" w:cstheme="majorBidi"/>
      <w:spacing w:val="-10"/>
      <w:kern w:val="28"/>
      <w:sz w:val="56"/>
      <w:szCs w:val="56"/>
    </w:rPr>
  </w:style>
  <w:style w:type="paragraph" w:styleId="Subtitle">
    <w:name w:val="Subtitle"/>
    <w:basedOn w:val="Title"/>
    <w:next w:val="BodyText"/>
    <w:link w:val="SubtitleChar"/>
    <w:uiPriority w:val="11"/>
    <w:qFormat/>
    <w:rsid w:val="00A10FD9"/>
    <w:pPr>
      <w:numPr>
        <w:ilvl w:val="1"/>
      </w:numPr>
    </w:pPr>
    <w:rPr>
      <w:spacing w:val="15"/>
      <w:sz w:val="28"/>
      <w:szCs w:val="28"/>
    </w:rPr>
  </w:style>
  <w:style w:type="character" w:customStyle="1" w:styleId="SubtitleChar">
    <w:name w:val="Subtitle Char"/>
    <w:basedOn w:val="DefaultParagraphFont"/>
    <w:link w:val="Subtitle"/>
    <w:uiPriority w:val="11"/>
    <w:rsid w:val="00A10FD9"/>
    <w:rPr>
      <w:rFonts w:eastAsiaTheme="majorEastAsia" w:cstheme="majorBidi"/>
      <w:color w:val="595959" w:themeColor="text1" w:themeTint="A6"/>
      <w:spacing w:val="15"/>
      <w:sz w:val="28"/>
      <w:szCs w:val="28"/>
    </w:rPr>
  </w:style>
  <w:style w:type="paragraph" w:customStyle="1" w:styleId="Author">
    <w:name w:val="Author"/>
    <w:next w:val="BodyText"/>
    <w:qFormat/>
    <w:pPr>
      <w:keepNext/>
      <w:keepLines/>
      <w:jc w:val="center"/>
    </w:pPr>
  </w:style>
  <w:style w:type="paragraph" w:styleId="Date">
    <w:name w:val="Date"/>
    <w:next w:val="BodyText"/>
    <w:qFormat/>
    <w:pPr>
      <w:keepNext/>
      <w:keepLines/>
      <w:jc w:val="center"/>
    </w:pPr>
  </w:style>
  <w:style w:type="paragraph" w:customStyle="1" w:styleId="AbstractTitle">
    <w:name w:val="Abstract Title"/>
    <w:basedOn w:val="Normal"/>
    <w:next w:val="Abstract"/>
    <w:qFormat/>
    <w:pPr>
      <w:keepNext/>
      <w:keepLines/>
      <w:spacing w:before="300" w:after="0"/>
      <w:jc w:val="center"/>
    </w:pPr>
    <w:rPr>
      <w:b/>
      <w:sz w:val="20"/>
      <w:szCs w:val="20"/>
    </w:rPr>
  </w:style>
  <w:style w:type="paragraph" w:customStyle="1" w:styleId="Abstract">
    <w:name w:val="Abstract"/>
    <w:basedOn w:val="Normal"/>
    <w:next w:val="BodyText"/>
    <w:qFormat/>
    <w:pPr>
      <w:keepNext/>
      <w:keepLines/>
      <w:spacing w:before="100" w:after="300"/>
    </w:pPr>
    <w:rPr>
      <w:sz w:val="20"/>
      <w:szCs w:val="20"/>
    </w:rPr>
  </w:style>
  <w:style w:type="paragraph" w:styleId="Bibliography">
    <w:name w:val="Bibliography"/>
    <w:basedOn w:val="Normal"/>
    <w:qFormat/>
  </w:style>
  <w:style w:type="character" w:customStyle="1" w:styleId="Heading1Char">
    <w:name w:val="Heading 1 Char"/>
    <w:basedOn w:val="DefaultParagraphFont"/>
    <w:link w:val="Heading1"/>
    <w:uiPriority w:val="9"/>
    <w:rsid w:val="00A10FD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A10FD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A10FD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10FD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10FD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10FD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10FD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10FD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10FD9"/>
    <w:rPr>
      <w:rFonts w:eastAsiaTheme="majorEastAsia" w:cstheme="majorBidi"/>
      <w:color w:val="272727" w:themeColor="text1" w:themeTint="D8"/>
    </w:rPr>
  </w:style>
  <w:style w:type="paragraph" w:styleId="BlockText">
    <w:name w:val="Block Text"/>
    <w:basedOn w:val="BodyText"/>
    <w:next w:val="BodyText"/>
    <w:uiPriority w:val="9"/>
    <w:unhideWhenUsed/>
    <w:qFormat/>
    <w:pPr>
      <w:spacing w:before="100" w:after="100"/>
      <w:ind w:left="480" w:right="480"/>
    </w:pPr>
  </w:style>
  <w:style w:type="paragraph" w:styleId="FootnoteText">
    <w:name w:val="footnote text"/>
    <w:basedOn w:val="Normal"/>
    <w:uiPriority w:val="9"/>
    <w:unhideWhenUsed/>
    <w:qFormat/>
  </w:style>
  <w:style w:type="paragraph" w:customStyle="1" w:styleId="FootnoteBlockText">
    <w:name w:val="Footnote Block Text"/>
    <w:basedOn w:val="FootnoteText"/>
    <w:next w:val="FootnoteText"/>
    <w:uiPriority w:val="9"/>
    <w:unhideWhenUsed/>
    <w:qFormat/>
    <w:pPr>
      <w:spacing w:before="100" w:after="100"/>
      <w:ind w:left="480" w:right="480"/>
    </w:pPr>
  </w:style>
  <w:style w:type="table" w:customStyle="1" w:styleId="Table">
    <w:name w:val="Table"/>
    <w:semiHidden/>
    <w:unhideWhenUsed/>
    <w:qFormat/>
    <w:tblPr>
      <w:tblInd w:w="0" w:type="dxa"/>
      <w:tblCellMar>
        <w:top w:w="0" w:type="dxa"/>
        <w:left w:w="108" w:type="dxa"/>
        <w:bottom w:w="0" w:type="dxa"/>
        <w:right w:w="108" w:type="dxa"/>
      </w:tblCellMar>
    </w:tblPr>
    <w:tblStylePr w:type="firstRow">
      <w:tblPr>
        <w:jc w:val="left"/>
      </w:tblPr>
      <w:trPr>
        <w:jc w:val="left"/>
      </w:trPr>
      <w:tcPr>
        <w:tcBorders>
          <w:bottom w:val="single" w:sz="0" w:space="0" w:color="auto"/>
        </w:tcBorders>
        <w:vAlign w:val="bottom"/>
      </w:tcPr>
    </w:tblStylePr>
  </w:style>
  <w:style w:type="paragraph" w:customStyle="1" w:styleId="DefinitionTerm">
    <w:name w:val="Definition Term"/>
    <w:basedOn w:val="Normal"/>
    <w:next w:val="Definition"/>
    <w:pPr>
      <w:keepNext/>
      <w:keepLines/>
      <w:spacing w:after="0"/>
    </w:pPr>
    <w:rPr>
      <w:b/>
    </w:rPr>
  </w:style>
  <w:style w:type="paragraph" w:customStyle="1" w:styleId="Definition">
    <w:name w:val="Definition"/>
    <w:basedOn w:val="Normal"/>
  </w:style>
  <w:style w:type="paragraph" w:styleId="Caption">
    <w:name w:val="caption"/>
    <w:basedOn w:val="Normal"/>
    <w:link w:val="CaptionChar"/>
    <w:pPr>
      <w:spacing w:after="120"/>
    </w:pPr>
    <w:rPr>
      <w:i/>
    </w:rPr>
  </w:style>
  <w:style w:type="paragraph" w:customStyle="1" w:styleId="TableCaption">
    <w:name w:val="Table Caption"/>
    <w:basedOn w:val="Caption"/>
    <w:pPr>
      <w:keepNext/>
    </w:pPr>
  </w:style>
  <w:style w:type="paragraph" w:customStyle="1" w:styleId="ImageCaption">
    <w:name w:val="Image Caption"/>
    <w:basedOn w:val="Caption"/>
  </w:style>
  <w:style w:type="paragraph" w:customStyle="1" w:styleId="Figure">
    <w:name w:val="Figure"/>
    <w:basedOn w:val="Normal"/>
  </w:style>
  <w:style w:type="paragraph" w:customStyle="1" w:styleId="CaptionedFigure">
    <w:name w:val="Captioned Figure"/>
    <w:basedOn w:val="Figure"/>
    <w:pPr>
      <w:keepNext/>
    </w:pPr>
  </w:style>
  <w:style w:type="character" w:customStyle="1" w:styleId="CaptionChar">
    <w:name w:val="Caption Char"/>
    <w:basedOn w:val="DefaultParagraphFont"/>
    <w:link w:val="Caption"/>
  </w:style>
  <w:style w:type="character" w:customStyle="1" w:styleId="VerbatimChar">
    <w:name w:val="Verbatim Char"/>
    <w:basedOn w:val="CaptionChar"/>
    <w:link w:val="SourceCode"/>
    <w:rPr>
      <w:rFonts w:ascii="Consolas" w:hAnsi="Consolas"/>
      <w:sz w:val="22"/>
    </w:rPr>
  </w:style>
  <w:style w:type="character" w:customStyle="1" w:styleId="SectionNumber">
    <w:name w:val="Section Number"/>
    <w:basedOn w:val="CaptionChar"/>
  </w:style>
  <w:style w:type="character" w:styleId="FootnoteReference">
    <w:name w:val="footnote reference"/>
    <w:basedOn w:val="CaptionChar"/>
    <w:rPr>
      <w:vertAlign w:val="superscript"/>
    </w:rPr>
  </w:style>
  <w:style w:type="character" w:styleId="Hyperlink">
    <w:name w:val="Hyperlink"/>
    <w:basedOn w:val="CaptionChar"/>
    <w:rPr>
      <w:color w:val="156082" w:themeColor="accent1"/>
    </w:rPr>
  </w:style>
  <w:style w:type="paragraph" w:styleId="TOCHeading">
    <w:name w:val="TOC Heading"/>
    <w:basedOn w:val="Heading1"/>
    <w:next w:val="BodyText"/>
    <w:uiPriority w:val="39"/>
    <w:unhideWhenUsed/>
    <w:qFormat/>
    <w:pPr>
      <w:spacing w:before="240" w:line="259" w:lineRule="auto"/>
      <w:outlineLvl w:val="9"/>
    </w:pPr>
  </w:style>
  <w:style w:type="paragraph" w:customStyle="1" w:styleId="SourceCode">
    <w:name w:val="Source Code"/>
    <w:basedOn w:val="Normal"/>
    <w:link w:val="VerbatimChar"/>
    <w:pPr>
      <w:wordWrap w:val="0"/>
    </w:pPr>
  </w:style>
  <w:style w:type="character" w:customStyle="1" w:styleId="KeywordTok">
    <w:name w:val="KeywordTok"/>
    <w:basedOn w:val="VerbatimChar"/>
    <w:rPr>
      <w:rFonts w:ascii="Consolas" w:hAnsi="Consolas"/>
      <w:b/>
      <w:color w:val="007020"/>
      <w:sz w:val="22"/>
    </w:rPr>
  </w:style>
  <w:style w:type="character" w:customStyle="1" w:styleId="DataTypeTok">
    <w:name w:val="DataTypeTok"/>
    <w:basedOn w:val="VerbatimChar"/>
    <w:rPr>
      <w:rFonts w:ascii="Consolas" w:hAnsi="Consolas"/>
      <w:color w:val="902000"/>
      <w:sz w:val="22"/>
    </w:rPr>
  </w:style>
  <w:style w:type="character" w:customStyle="1" w:styleId="DecValTok">
    <w:name w:val="DecValTok"/>
    <w:basedOn w:val="VerbatimChar"/>
    <w:rPr>
      <w:rFonts w:ascii="Consolas" w:hAnsi="Consolas"/>
      <w:color w:val="40A070"/>
      <w:sz w:val="22"/>
    </w:rPr>
  </w:style>
  <w:style w:type="character" w:customStyle="1" w:styleId="BaseNTok">
    <w:name w:val="BaseNTok"/>
    <w:basedOn w:val="VerbatimChar"/>
    <w:rPr>
      <w:rFonts w:ascii="Consolas" w:hAnsi="Consolas"/>
      <w:color w:val="40A070"/>
      <w:sz w:val="22"/>
    </w:rPr>
  </w:style>
  <w:style w:type="character" w:customStyle="1" w:styleId="FloatTok">
    <w:name w:val="FloatTok"/>
    <w:basedOn w:val="VerbatimChar"/>
    <w:rPr>
      <w:rFonts w:ascii="Consolas" w:hAnsi="Consolas"/>
      <w:color w:val="40A070"/>
      <w:sz w:val="22"/>
    </w:rPr>
  </w:style>
  <w:style w:type="character" w:customStyle="1" w:styleId="ConstantTok">
    <w:name w:val="ConstantTok"/>
    <w:basedOn w:val="VerbatimChar"/>
    <w:rPr>
      <w:rFonts w:ascii="Consolas" w:hAnsi="Consolas"/>
      <w:color w:val="880000"/>
      <w:sz w:val="22"/>
    </w:rPr>
  </w:style>
  <w:style w:type="character" w:customStyle="1" w:styleId="CharTok">
    <w:name w:val="CharTok"/>
    <w:basedOn w:val="VerbatimChar"/>
    <w:rPr>
      <w:rFonts w:ascii="Consolas" w:hAnsi="Consolas"/>
      <w:color w:val="4070A0"/>
      <w:sz w:val="22"/>
    </w:rPr>
  </w:style>
  <w:style w:type="character" w:customStyle="1" w:styleId="SpecialCharTok">
    <w:name w:val="SpecialCharTok"/>
    <w:basedOn w:val="VerbatimChar"/>
    <w:rPr>
      <w:rFonts w:ascii="Consolas" w:hAnsi="Consolas"/>
      <w:color w:val="4070A0"/>
      <w:sz w:val="22"/>
    </w:rPr>
  </w:style>
  <w:style w:type="character" w:customStyle="1" w:styleId="StringTok">
    <w:name w:val="StringTok"/>
    <w:basedOn w:val="VerbatimChar"/>
    <w:rPr>
      <w:rFonts w:ascii="Consolas" w:hAnsi="Consolas"/>
      <w:color w:val="4070A0"/>
      <w:sz w:val="22"/>
    </w:rPr>
  </w:style>
  <w:style w:type="character" w:customStyle="1" w:styleId="VerbatimStringTok">
    <w:name w:val="VerbatimStringTok"/>
    <w:basedOn w:val="VerbatimChar"/>
    <w:rPr>
      <w:rFonts w:ascii="Consolas" w:hAnsi="Consolas"/>
      <w:color w:val="4070A0"/>
      <w:sz w:val="22"/>
    </w:rPr>
  </w:style>
  <w:style w:type="character" w:customStyle="1" w:styleId="SpecialStringTok">
    <w:name w:val="SpecialStringTok"/>
    <w:basedOn w:val="VerbatimChar"/>
    <w:rPr>
      <w:rFonts w:ascii="Consolas" w:hAnsi="Consolas"/>
      <w:color w:val="BB6688"/>
      <w:sz w:val="22"/>
    </w:rPr>
  </w:style>
  <w:style w:type="character" w:customStyle="1" w:styleId="ImportTok">
    <w:name w:val="ImportTok"/>
    <w:basedOn w:val="VerbatimChar"/>
    <w:rPr>
      <w:rFonts w:ascii="Consolas" w:hAnsi="Consolas"/>
      <w:b/>
      <w:color w:val="008000"/>
      <w:sz w:val="22"/>
    </w:rPr>
  </w:style>
  <w:style w:type="character" w:customStyle="1" w:styleId="CommentTok">
    <w:name w:val="CommentTok"/>
    <w:basedOn w:val="VerbatimChar"/>
    <w:rPr>
      <w:rFonts w:ascii="Consolas" w:hAnsi="Consolas"/>
      <w:i/>
      <w:color w:val="60A0B0"/>
      <w:sz w:val="22"/>
    </w:rPr>
  </w:style>
  <w:style w:type="character" w:customStyle="1" w:styleId="DocumentationTok">
    <w:name w:val="DocumentationTok"/>
    <w:basedOn w:val="VerbatimChar"/>
    <w:rPr>
      <w:rFonts w:ascii="Consolas" w:hAnsi="Consolas"/>
      <w:i/>
      <w:color w:val="BA2121"/>
      <w:sz w:val="22"/>
    </w:rPr>
  </w:style>
  <w:style w:type="character" w:customStyle="1" w:styleId="AnnotationTok">
    <w:name w:val="AnnotationTok"/>
    <w:basedOn w:val="VerbatimChar"/>
    <w:rPr>
      <w:rFonts w:ascii="Consolas" w:hAnsi="Consolas"/>
      <w:b/>
      <w:i/>
      <w:color w:val="60A0B0"/>
      <w:sz w:val="22"/>
    </w:rPr>
  </w:style>
  <w:style w:type="character" w:customStyle="1" w:styleId="CommentVarTok">
    <w:name w:val="CommentVarTok"/>
    <w:basedOn w:val="VerbatimChar"/>
    <w:rPr>
      <w:rFonts w:ascii="Consolas" w:hAnsi="Consolas"/>
      <w:b/>
      <w:i/>
      <w:color w:val="60A0B0"/>
      <w:sz w:val="22"/>
    </w:rPr>
  </w:style>
  <w:style w:type="character" w:customStyle="1" w:styleId="OtherTok">
    <w:name w:val="OtherTok"/>
    <w:basedOn w:val="VerbatimChar"/>
    <w:rPr>
      <w:rFonts w:ascii="Consolas" w:hAnsi="Consolas"/>
      <w:color w:val="007020"/>
      <w:sz w:val="22"/>
    </w:rPr>
  </w:style>
  <w:style w:type="character" w:customStyle="1" w:styleId="FunctionTok">
    <w:name w:val="FunctionTok"/>
    <w:basedOn w:val="VerbatimChar"/>
    <w:rPr>
      <w:rFonts w:ascii="Consolas" w:hAnsi="Consolas"/>
      <w:color w:val="06287E"/>
      <w:sz w:val="22"/>
    </w:rPr>
  </w:style>
  <w:style w:type="character" w:customStyle="1" w:styleId="VariableTok">
    <w:name w:val="VariableTok"/>
    <w:basedOn w:val="VerbatimChar"/>
    <w:rPr>
      <w:rFonts w:ascii="Consolas" w:hAnsi="Consolas"/>
      <w:color w:val="19177C"/>
      <w:sz w:val="22"/>
    </w:rPr>
  </w:style>
  <w:style w:type="character" w:customStyle="1" w:styleId="ControlFlowTok">
    <w:name w:val="ControlFlowTok"/>
    <w:basedOn w:val="VerbatimChar"/>
    <w:rPr>
      <w:rFonts w:ascii="Consolas" w:hAnsi="Consolas"/>
      <w:b/>
      <w:color w:val="007020"/>
      <w:sz w:val="22"/>
    </w:rPr>
  </w:style>
  <w:style w:type="character" w:customStyle="1" w:styleId="OperatorTok">
    <w:name w:val="OperatorTok"/>
    <w:basedOn w:val="VerbatimChar"/>
    <w:rPr>
      <w:rFonts w:ascii="Consolas" w:hAnsi="Consolas"/>
      <w:color w:val="666666"/>
      <w:sz w:val="22"/>
    </w:rPr>
  </w:style>
  <w:style w:type="character" w:customStyle="1" w:styleId="BuiltInTok">
    <w:name w:val="BuiltInTok"/>
    <w:basedOn w:val="VerbatimChar"/>
    <w:rPr>
      <w:rFonts w:ascii="Consolas" w:hAnsi="Consolas"/>
      <w:color w:val="008000"/>
      <w:sz w:val="22"/>
    </w:rPr>
  </w:style>
  <w:style w:type="character" w:customStyle="1" w:styleId="ExtensionTok">
    <w:name w:val="ExtensionTok"/>
    <w:basedOn w:val="VerbatimChar"/>
    <w:rPr>
      <w:rFonts w:ascii="Consolas" w:hAnsi="Consolas"/>
      <w:sz w:val="22"/>
    </w:rPr>
  </w:style>
  <w:style w:type="character" w:customStyle="1" w:styleId="PreprocessorTok">
    <w:name w:val="PreprocessorTok"/>
    <w:basedOn w:val="VerbatimChar"/>
    <w:rPr>
      <w:rFonts w:ascii="Consolas" w:hAnsi="Consolas"/>
      <w:color w:val="BC7A00"/>
      <w:sz w:val="22"/>
    </w:rPr>
  </w:style>
  <w:style w:type="character" w:customStyle="1" w:styleId="AttributeTok">
    <w:name w:val="AttributeTok"/>
    <w:basedOn w:val="VerbatimChar"/>
    <w:rPr>
      <w:rFonts w:ascii="Consolas" w:hAnsi="Consolas"/>
      <w:color w:val="7D9029"/>
      <w:sz w:val="22"/>
    </w:rPr>
  </w:style>
  <w:style w:type="character" w:customStyle="1" w:styleId="RegionMarkerTok">
    <w:name w:val="RegionMarkerTok"/>
    <w:basedOn w:val="VerbatimChar"/>
    <w:rPr>
      <w:rFonts w:ascii="Consolas" w:hAnsi="Consolas"/>
      <w:sz w:val="22"/>
    </w:rPr>
  </w:style>
  <w:style w:type="character" w:customStyle="1" w:styleId="InformationTok">
    <w:name w:val="InformationTok"/>
    <w:basedOn w:val="VerbatimChar"/>
    <w:rPr>
      <w:rFonts w:ascii="Consolas" w:hAnsi="Consolas"/>
      <w:b/>
      <w:i/>
      <w:color w:val="60A0B0"/>
      <w:sz w:val="22"/>
    </w:rPr>
  </w:style>
  <w:style w:type="character" w:customStyle="1" w:styleId="WarningTok">
    <w:name w:val="WarningTok"/>
    <w:basedOn w:val="VerbatimChar"/>
    <w:rPr>
      <w:rFonts w:ascii="Consolas" w:hAnsi="Consolas"/>
      <w:b/>
      <w:i/>
      <w:color w:val="60A0B0"/>
      <w:sz w:val="22"/>
    </w:rPr>
  </w:style>
  <w:style w:type="character" w:customStyle="1" w:styleId="AlertTok">
    <w:name w:val="AlertTok"/>
    <w:basedOn w:val="VerbatimChar"/>
    <w:rPr>
      <w:rFonts w:ascii="Consolas" w:hAnsi="Consolas"/>
      <w:b/>
      <w:color w:val="FF0000"/>
      <w:sz w:val="22"/>
    </w:rPr>
  </w:style>
  <w:style w:type="character" w:customStyle="1" w:styleId="ErrorTok">
    <w:name w:val="ErrorTok"/>
    <w:basedOn w:val="VerbatimChar"/>
    <w:rPr>
      <w:rFonts w:ascii="Consolas" w:hAnsi="Consolas"/>
      <w:b/>
      <w:color w:val="FF0000"/>
      <w:sz w:val="22"/>
    </w:rPr>
  </w:style>
  <w:style w:type="character" w:customStyle="1" w:styleId="NormalTok">
    <w:name w:val="NormalTok"/>
    <w:basedOn w:val="VerbatimChar"/>
    <w:rPr>
      <w:rFonts w:ascii="Consolas" w:hAnsi="Consolas"/>
      <w:sz w:val="22"/>
    </w:rPr>
  </w:style>
  <w:style w:type="paragraph" w:styleId="ListParagraph">
    <w:name w:val="List Paragraph"/>
    <w:basedOn w:val="Normal"/>
    <w:rsid w:val="009E2BAF"/>
    <w:pPr>
      <w:ind w:left="720"/>
      <w:contextualSpacing/>
    </w:pPr>
  </w:style>
  <w:style w:type="paragraph" w:styleId="NormalWeb">
    <w:name w:val="Normal (Web)"/>
    <w:basedOn w:val="Normal"/>
    <w:uiPriority w:val="99"/>
    <w:unhideWhenUsed/>
    <w:rsid w:val="00DB45FF"/>
    <w:pPr>
      <w:spacing w:before="100" w:beforeAutospacing="1" w:after="100" w:afterAutospacing="1"/>
    </w:pPr>
    <w:rPr>
      <w:rFonts w:ascii="Times New Roman" w:eastAsia="Times New Roman" w:hAnsi="Times New Roman" w:cs="Times New Roman"/>
      <w:lang w:val="pt-PT" w:eastAsia="pt-PT"/>
    </w:rPr>
  </w:style>
  <w:style w:type="character" w:styleId="Strong">
    <w:name w:val="Strong"/>
    <w:basedOn w:val="DefaultParagraphFont"/>
    <w:uiPriority w:val="22"/>
    <w:qFormat/>
    <w:rsid w:val="009A6DE8"/>
    <w:rPr>
      <w:b/>
      <w:bCs/>
    </w:rPr>
  </w:style>
  <w:style w:type="paragraph" w:customStyle="1" w:styleId="isselectedend">
    <w:name w:val="isselectedend"/>
    <w:basedOn w:val="Normal"/>
    <w:rsid w:val="00805DA4"/>
    <w:pPr>
      <w:spacing w:before="100" w:beforeAutospacing="1" w:after="100" w:afterAutospacing="1"/>
    </w:pPr>
    <w:rPr>
      <w:rFonts w:ascii="Times New Roman" w:eastAsia="Times New Roman" w:hAnsi="Times New Roman" w:cs="Times New Roman"/>
      <w:lang w:val="pt-PT" w:eastAsia="pt-PT"/>
    </w:rPr>
  </w:style>
  <w:style w:type="paragraph" w:styleId="Header">
    <w:name w:val="header"/>
    <w:basedOn w:val="Normal"/>
    <w:link w:val="HeaderChar"/>
    <w:rsid w:val="00AC46E3"/>
    <w:pPr>
      <w:tabs>
        <w:tab w:val="center" w:pos="4513"/>
        <w:tab w:val="right" w:pos="9026"/>
      </w:tabs>
      <w:spacing w:after="0"/>
    </w:pPr>
  </w:style>
  <w:style w:type="character" w:customStyle="1" w:styleId="HeaderChar">
    <w:name w:val="Header Char"/>
    <w:basedOn w:val="DefaultParagraphFont"/>
    <w:link w:val="Header"/>
    <w:rsid w:val="00AC46E3"/>
  </w:style>
  <w:style w:type="paragraph" w:styleId="Footer">
    <w:name w:val="footer"/>
    <w:basedOn w:val="Normal"/>
    <w:link w:val="FooterChar"/>
    <w:rsid w:val="00AC46E3"/>
    <w:pPr>
      <w:tabs>
        <w:tab w:val="center" w:pos="4513"/>
        <w:tab w:val="right" w:pos="9026"/>
      </w:tabs>
      <w:spacing w:after="0"/>
    </w:pPr>
  </w:style>
  <w:style w:type="character" w:customStyle="1" w:styleId="FooterChar">
    <w:name w:val="Footer Char"/>
    <w:basedOn w:val="DefaultParagraphFont"/>
    <w:link w:val="Footer"/>
    <w:rsid w:val="00AC46E3"/>
  </w:style>
  <w:style w:type="character" w:styleId="Emphasis">
    <w:name w:val="Emphasis"/>
    <w:basedOn w:val="DefaultParagraphFont"/>
    <w:uiPriority w:val="20"/>
    <w:qFormat/>
    <w:rsid w:val="00903ED6"/>
    <w:rPr>
      <w:i/>
      <w:iCs/>
    </w:rPr>
  </w:style>
  <w:style w:type="character" w:styleId="PageNumber">
    <w:name w:val="page number"/>
    <w:basedOn w:val="DefaultParagraphFont"/>
    <w:rsid w:val="0016389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267">
    <w:lsdException w:name="Strong" w:uiPriority="22" w:qFormat="1"/>
    <w:lsdException w:name="Emphasis" w:uiPriority="20"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atentStyles>
  <w:style w:type="paragraph" w:default="1" w:styleId="Normal">
    <w:name w:val="Normal"/>
    <w:qFormat/>
  </w:style>
  <w:style w:type="paragraph" w:styleId="Heading1">
    <w:name w:val="heading 1"/>
    <w:basedOn w:val="Normal"/>
    <w:next w:val="BodyText"/>
    <w:link w:val="Heading1Char"/>
    <w:uiPriority w:val="9"/>
    <w:qFormat/>
    <w:rsid w:val="00A10FD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BodyText"/>
    <w:link w:val="Heading2Char"/>
    <w:uiPriority w:val="9"/>
    <w:unhideWhenUsed/>
    <w:qFormat/>
    <w:rsid w:val="00A10FD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BodyText"/>
    <w:link w:val="Heading3Char"/>
    <w:uiPriority w:val="9"/>
    <w:unhideWhenUsed/>
    <w:qFormat/>
    <w:rsid w:val="00A10FD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BodyText"/>
    <w:link w:val="Heading4Char"/>
    <w:uiPriority w:val="9"/>
    <w:semiHidden/>
    <w:unhideWhenUsed/>
    <w:qFormat/>
    <w:rsid w:val="00A10FD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BodyText"/>
    <w:link w:val="Heading5Char"/>
    <w:uiPriority w:val="9"/>
    <w:semiHidden/>
    <w:unhideWhenUsed/>
    <w:qFormat/>
    <w:rsid w:val="00A10FD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BodyText"/>
    <w:link w:val="Heading6Char"/>
    <w:uiPriority w:val="9"/>
    <w:semiHidden/>
    <w:unhideWhenUsed/>
    <w:qFormat/>
    <w:rsid w:val="00A10FD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BodyText"/>
    <w:link w:val="Heading7Char"/>
    <w:uiPriority w:val="9"/>
    <w:semiHidden/>
    <w:unhideWhenUsed/>
    <w:qFormat/>
    <w:rsid w:val="00A10FD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BodyText"/>
    <w:link w:val="Heading8Char"/>
    <w:uiPriority w:val="9"/>
    <w:semiHidden/>
    <w:unhideWhenUsed/>
    <w:qFormat/>
    <w:rsid w:val="00A10FD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BodyText"/>
    <w:link w:val="Heading9Char"/>
    <w:uiPriority w:val="9"/>
    <w:semiHidden/>
    <w:unhideWhenUsed/>
    <w:qFormat/>
    <w:rsid w:val="00A10FD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qFormat/>
    <w:pPr>
      <w:spacing w:before="180" w:after="180"/>
    </w:pPr>
  </w:style>
  <w:style w:type="paragraph" w:customStyle="1" w:styleId="FirstParagraph">
    <w:name w:val="First Paragraph"/>
    <w:basedOn w:val="BodyText"/>
    <w:next w:val="BodyText"/>
    <w:qFormat/>
  </w:style>
  <w:style w:type="paragraph" w:customStyle="1" w:styleId="Compact">
    <w:name w:val="Compact"/>
    <w:basedOn w:val="BodyText"/>
    <w:qFormat/>
    <w:pPr>
      <w:spacing w:before="36" w:after="36"/>
    </w:pPr>
  </w:style>
  <w:style w:type="paragraph" w:styleId="Title">
    <w:name w:val="Title"/>
    <w:basedOn w:val="Normal"/>
    <w:next w:val="BodyText"/>
    <w:link w:val="TitleChar"/>
    <w:uiPriority w:val="10"/>
    <w:qFormat/>
    <w:rsid w:val="00A10FD9"/>
    <w:pPr>
      <w:spacing w:after="80"/>
      <w:contextualSpacing/>
      <w:jc w:val="center"/>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10FD9"/>
    <w:rPr>
      <w:rFonts w:asciiTheme="majorHAnsi" w:eastAsiaTheme="majorEastAsia" w:hAnsiTheme="majorHAnsi" w:cstheme="majorBidi"/>
      <w:spacing w:val="-10"/>
      <w:kern w:val="28"/>
      <w:sz w:val="56"/>
      <w:szCs w:val="56"/>
    </w:rPr>
  </w:style>
  <w:style w:type="paragraph" w:styleId="Subtitle">
    <w:name w:val="Subtitle"/>
    <w:basedOn w:val="Title"/>
    <w:next w:val="BodyText"/>
    <w:link w:val="SubtitleChar"/>
    <w:uiPriority w:val="11"/>
    <w:qFormat/>
    <w:rsid w:val="00A10FD9"/>
    <w:pPr>
      <w:numPr>
        <w:ilvl w:val="1"/>
      </w:numPr>
    </w:pPr>
    <w:rPr>
      <w:spacing w:val="15"/>
      <w:sz w:val="28"/>
      <w:szCs w:val="28"/>
    </w:rPr>
  </w:style>
  <w:style w:type="character" w:customStyle="1" w:styleId="SubtitleChar">
    <w:name w:val="Subtitle Char"/>
    <w:basedOn w:val="DefaultParagraphFont"/>
    <w:link w:val="Subtitle"/>
    <w:uiPriority w:val="11"/>
    <w:rsid w:val="00A10FD9"/>
    <w:rPr>
      <w:rFonts w:eastAsiaTheme="majorEastAsia" w:cstheme="majorBidi"/>
      <w:color w:val="595959" w:themeColor="text1" w:themeTint="A6"/>
      <w:spacing w:val="15"/>
      <w:sz w:val="28"/>
      <w:szCs w:val="28"/>
    </w:rPr>
  </w:style>
  <w:style w:type="paragraph" w:customStyle="1" w:styleId="Author">
    <w:name w:val="Author"/>
    <w:next w:val="BodyText"/>
    <w:qFormat/>
    <w:pPr>
      <w:keepNext/>
      <w:keepLines/>
      <w:jc w:val="center"/>
    </w:pPr>
  </w:style>
  <w:style w:type="paragraph" w:styleId="Date">
    <w:name w:val="Date"/>
    <w:next w:val="BodyText"/>
    <w:qFormat/>
    <w:pPr>
      <w:keepNext/>
      <w:keepLines/>
      <w:jc w:val="center"/>
    </w:pPr>
  </w:style>
  <w:style w:type="paragraph" w:customStyle="1" w:styleId="AbstractTitle">
    <w:name w:val="Abstract Title"/>
    <w:basedOn w:val="Normal"/>
    <w:next w:val="Abstract"/>
    <w:qFormat/>
    <w:pPr>
      <w:keepNext/>
      <w:keepLines/>
      <w:spacing w:before="300" w:after="0"/>
      <w:jc w:val="center"/>
    </w:pPr>
    <w:rPr>
      <w:b/>
      <w:sz w:val="20"/>
      <w:szCs w:val="20"/>
    </w:rPr>
  </w:style>
  <w:style w:type="paragraph" w:customStyle="1" w:styleId="Abstract">
    <w:name w:val="Abstract"/>
    <w:basedOn w:val="Normal"/>
    <w:next w:val="BodyText"/>
    <w:qFormat/>
    <w:pPr>
      <w:keepNext/>
      <w:keepLines/>
      <w:spacing w:before="100" w:after="300"/>
    </w:pPr>
    <w:rPr>
      <w:sz w:val="20"/>
      <w:szCs w:val="20"/>
    </w:rPr>
  </w:style>
  <w:style w:type="paragraph" w:styleId="Bibliography">
    <w:name w:val="Bibliography"/>
    <w:basedOn w:val="Normal"/>
    <w:qFormat/>
  </w:style>
  <w:style w:type="character" w:customStyle="1" w:styleId="Heading1Char">
    <w:name w:val="Heading 1 Char"/>
    <w:basedOn w:val="DefaultParagraphFont"/>
    <w:link w:val="Heading1"/>
    <w:uiPriority w:val="9"/>
    <w:rsid w:val="00A10FD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A10FD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A10FD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10FD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10FD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10FD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10FD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10FD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10FD9"/>
    <w:rPr>
      <w:rFonts w:eastAsiaTheme="majorEastAsia" w:cstheme="majorBidi"/>
      <w:color w:val="272727" w:themeColor="text1" w:themeTint="D8"/>
    </w:rPr>
  </w:style>
  <w:style w:type="paragraph" w:styleId="BlockText">
    <w:name w:val="Block Text"/>
    <w:basedOn w:val="BodyText"/>
    <w:next w:val="BodyText"/>
    <w:uiPriority w:val="9"/>
    <w:unhideWhenUsed/>
    <w:qFormat/>
    <w:pPr>
      <w:spacing w:before="100" w:after="100"/>
      <w:ind w:left="480" w:right="480"/>
    </w:pPr>
  </w:style>
  <w:style w:type="paragraph" w:styleId="FootnoteText">
    <w:name w:val="footnote text"/>
    <w:basedOn w:val="Normal"/>
    <w:uiPriority w:val="9"/>
    <w:unhideWhenUsed/>
    <w:qFormat/>
  </w:style>
  <w:style w:type="paragraph" w:customStyle="1" w:styleId="FootnoteBlockText">
    <w:name w:val="Footnote Block Text"/>
    <w:basedOn w:val="FootnoteText"/>
    <w:next w:val="FootnoteText"/>
    <w:uiPriority w:val="9"/>
    <w:unhideWhenUsed/>
    <w:qFormat/>
    <w:pPr>
      <w:spacing w:before="100" w:after="100"/>
      <w:ind w:left="480" w:right="480"/>
    </w:pPr>
  </w:style>
  <w:style w:type="table" w:customStyle="1" w:styleId="Table">
    <w:name w:val="Table"/>
    <w:semiHidden/>
    <w:unhideWhenUsed/>
    <w:qFormat/>
    <w:tblPr>
      <w:tblInd w:w="0" w:type="dxa"/>
      <w:tblCellMar>
        <w:top w:w="0" w:type="dxa"/>
        <w:left w:w="108" w:type="dxa"/>
        <w:bottom w:w="0" w:type="dxa"/>
        <w:right w:w="108" w:type="dxa"/>
      </w:tblCellMar>
    </w:tblPr>
    <w:tblStylePr w:type="firstRow">
      <w:tblPr>
        <w:jc w:val="left"/>
      </w:tblPr>
      <w:trPr>
        <w:jc w:val="left"/>
      </w:trPr>
      <w:tcPr>
        <w:tcBorders>
          <w:bottom w:val="single" w:sz="0" w:space="0" w:color="auto"/>
        </w:tcBorders>
        <w:vAlign w:val="bottom"/>
      </w:tcPr>
    </w:tblStylePr>
  </w:style>
  <w:style w:type="paragraph" w:customStyle="1" w:styleId="DefinitionTerm">
    <w:name w:val="Definition Term"/>
    <w:basedOn w:val="Normal"/>
    <w:next w:val="Definition"/>
    <w:pPr>
      <w:keepNext/>
      <w:keepLines/>
      <w:spacing w:after="0"/>
    </w:pPr>
    <w:rPr>
      <w:b/>
    </w:rPr>
  </w:style>
  <w:style w:type="paragraph" w:customStyle="1" w:styleId="Definition">
    <w:name w:val="Definition"/>
    <w:basedOn w:val="Normal"/>
  </w:style>
  <w:style w:type="paragraph" w:styleId="Caption">
    <w:name w:val="caption"/>
    <w:basedOn w:val="Normal"/>
    <w:link w:val="CaptionChar"/>
    <w:pPr>
      <w:spacing w:after="120"/>
    </w:pPr>
    <w:rPr>
      <w:i/>
    </w:rPr>
  </w:style>
  <w:style w:type="paragraph" w:customStyle="1" w:styleId="TableCaption">
    <w:name w:val="Table Caption"/>
    <w:basedOn w:val="Caption"/>
    <w:pPr>
      <w:keepNext/>
    </w:pPr>
  </w:style>
  <w:style w:type="paragraph" w:customStyle="1" w:styleId="ImageCaption">
    <w:name w:val="Image Caption"/>
    <w:basedOn w:val="Caption"/>
  </w:style>
  <w:style w:type="paragraph" w:customStyle="1" w:styleId="Figure">
    <w:name w:val="Figure"/>
    <w:basedOn w:val="Normal"/>
  </w:style>
  <w:style w:type="paragraph" w:customStyle="1" w:styleId="CaptionedFigure">
    <w:name w:val="Captioned Figure"/>
    <w:basedOn w:val="Figure"/>
    <w:pPr>
      <w:keepNext/>
    </w:pPr>
  </w:style>
  <w:style w:type="character" w:customStyle="1" w:styleId="CaptionChar">
    <w:name w:val="Caption Char"/>
    <w:basedOn w:val="DefaultParagraphFont"/>
    <w:link w:val="Caption"/>
  </w:style>
  <w:style w:type="character" w:customStyle="1" w:styleId="VerbatimChar">
    <w:name w:val="Verbatim Char"/>
    <w:basedOn w:val="CaptionChar"/>
    <w:link w:val="SourceCode"/>
    <w:rPr>
      <w:rFonts w:ascii="Consolas" w:hAnsi="Consolas"/>
      <w:sz w:val="22"/>
    </w:rPr>
  </w:style>
  <w:style w:type="character" w:customStyle="1" w:styleId="SectionNumber">
    <w:name w:val="Section Number"/>
    <w:basedOn w:val="CaptionChar"/>
  </w:style>
  <w:style w:type="character" w:styleId="FootnoteReference">
    <w:name w:val="footnote reference"/>
    <w:basedOn w:val="CaptionChar"/>
    <w:rPr>
      <w:vertAlign w:val="superscript"/>
    </w:rPr>
  </w:style>
  <w:style w:type="character" w:styleId="Hyperlink">
    <w:name w:val="Hyperlink"/>
    <w:basedOn w:val="CaptionChar"/>
    <w:rPr>
      <w:color w:val="156082" w:themeColor="accent1"/>
    </w:rPr>
  </w:style>
  <w:style w:type="paragraph" w:styleId="TOCHeading">
    <w:name w:val="TOC Heading"/>
    <w:basedOn w:val="Heading1"/>
    <w:next w:val="BodyText"/>
    <w:uiPriority w:val="39"/>
    <w:unhideWhenUsed/>
    <w:qFormat/>
    <w:pPr>
      <w:spacing w:before="240" w:line="259" w:lineRule="auto"/>
      <w:outlineLvl w:val="9"/>
    </w:pPr>
  </w:style>
  <w:style w:type="paragraph" w:customStyle="1" w:styleId="SourceCode">
    <w:name w:val="Source Code"/>
    <w:basedOn w:val="Normal"/>
    <w:link w:val="VerbatimChar"/>
    <w:pPr>
      <w:wordWrap w:val="0"/>
    </w:pPr>
  </w:style>
  <w:style w:type="character" w:customStyle="1" w:styleId="KeywordTok">
    <w:name w:val="KeywordTok"/>
    <w:basedOn w:val="VerbatimChar"/>
    <w:rPr>
      <w:rFonts w:ascii="Consolas" w:hAnsi="Consolas"/>
      <w:b/>
      <w:color w:val="007020"/>
      <w:sz w:val="22"/>
    </w:rPr>
  </w:style>
  <w:style w:type="character" w:customStyle="1" w:styleId="DataTypeTok">
    <w:name w:val="DataTypeTok"/>
    <w:basedOn w:val="VerbatimChar"/>
    <w:rPr>
      <w:rFonts w:ascii="Consolas" w:hAnsi="Consolas"/>
      <w:color w:val="902000"/>
      <w:sz w:val="22"/>
    </w:rPr>
  </w:style>
  <w:style w:type="character" w:customStyle="1" w:styleId="DecValTok">
    <w:name w:val="DecValTok"/>
    <w:basedOn w:val="VerbatimChar"/>
    <w:rPr>
      <w:rFonts w:ascii="Consolas" w:hAnsi="Consolas"/>
      <w:color w:val="40A070"/>
      <w:sz w:val="22"/>
    </w:rPr>
  </w:style>
  <w:style w:type="character" w:customStyle="1" w:styleId="BaseNTok">
    <w:name w:val="BaseNTok"/>
    <w:basedOn w:val="VerbatimChar"/>
    <w:rPr>
      <w:rFonts w:ascii="Consolas" w:hAnsi="Consolas"/>
      <w:color w:val="40A070"/>
      <w:sz w:val="22"/>
    </w:rPr>
  </w:style>
  <w:style w:type="character" w:customStyle="1" w:styleId="FloatTok">
    <w:name w:val="FloatTok"/>
    <w:basedOn w:val="VerbatimChar"/>
    <w:rPr>
      <w:rFonts w:ascii="Consolas" w:hAnsi="Consolas"/>
      <w:color w:val="40A070"/>
      <w:sz w:val="22"/>
    </w:rPr>
  </w:style>
  <w:style w:type="character" w:customStyle="1" w:styleId="ConstantTok">
    <w:name w:val="ConstantTok"/>
    <w:basedOn w:val="VerbatimChar"/>
    <w:rPr>
      <w:rFonts w:ascii="Consolas" w:hAnsi="Consolas"/>
      <w:color w:val="880000"/>
      <w:sz w:val="22"/>
    </w:rPr>
  </w:style>
  <w:style w:type="character" w:customStyle="1" w:styleId="CharTok">
    <w:name w:val="CharTok"/>
    <w:basedOn w:val="VerbatimChar"/>
    <w:rPr>
      <w:rFonts w:ascii="Consolas" w:hAnsi="Consolas"/>
      <w:color w:val="4070A0"/>
      <w:sz w:val="22"/>
    </w:rPr>
  </w:style>
  <w:style w:type="character" w:customStyle="1" w:styleId="SpecialCharTok">
    <w:name w:val="SpecialCharTok"/>
    <w:basedOn w:val="VerbatimChar"/>
    <w:rPr>
      <w:rFonts w:ascii="Consolas" w:hAnsi="Consolas"/>
      <w:color w:val="4070A0"/>
      <w:sz w:val="22"/>
    </w:rPr>
  </w:style>
  <w:style w:type="character" w:customStyle="1" w:styleId="StringTok">
    <w:name w:val="StringTok"/>
    <w:basedOn w:val="VerbatimChar"/>
    <w:rPr>
      <w:rFonts w:ascii="Consolas" w:hAnsi="Consolas"/>
      <w:color w:val="4070A0"/>
      <w:sz w:val="22"/>
    </w:rPr>
  </w:style>
  <w:style w:type="character" w:customStyle="1" w:styleId="VerbatimStringTok">
    <w:name w:val="VerbatimStringTok"/>
    <w:basedOn w:val="VerbatimChar"/>
    <w:rPr>
      <w:rFonts w:ascii="Consolas" w:hAnsi="Consolas"/>
      <w:color w:val="4070A0"/>
      <w:sz w:val="22"/>
    </w:rPr>
  </w:style>
  <w:style w:type="character" w:customStyle="1" w:styleId="SpecialStringTok">
    <w:name w:val="SpecialStringTok"/>
    <w:basedOn w:val="VerbatimChar"/>
    <w:rPr>
      <w:rFonts w:ascii="Consolas" w:hAnsi="Consolas"/>
      <w:color w:val="BB6688"/>
      <w:sz w:val="22"/>
    </w:rPr>
  </w:style>
  <w:style w:type="character" w:customStyle="1" w:styleId="ImportTok">
    <w:name w:val="ImportTok"/>
    <w:basedOn w:val="VerbatimChar"/>
    <w:rPr>
      <w:rFonts w:ascii="Consolas" w:hAnsi="Consolas"/>
      <w:b/>
      <w:color w:val="008000"/>
      <w:sz w:val="22"/>
    </w:rPr>
  </w:style>
  <w:style w:type="character" w:customStyle="1" w:styleId="CommentTok">
    <w:name w:val="CommentTok"/>
    <w:basedOn w:val="VerbatimChar"/>
    <w:rPr>
      <w:rFonts w:ascii="Consolas" w:hAnsi="Consolas"/>
      <w:i/>
      <w:color w:val="60A0B0"/>
      <w:sz w:val="22"/>
    </w:rPr>
  </w:style>
  <w:style w:type="character" w:customStyle="1" w:styleId="DocumentationTok">
    <w:name w:val="DocumentationTok"/>
    <w:basedOn w:val="VerbatimChar"/>
    <w:rPr>
      <w:rFonts w:ascii="Consolas" w:hAnsi="Consolas"/>
      <w:i/>
      <w:color w:val="BA2121"/>
      <w:sz w:val="22"/>
    </w:rPr>
  </w:style>
  <w:style w:type="character" w:customStyle="1" w:styleId="AnnotationTok">
    <w:name w:val="AnnotationTok"/>
    <w:basedOn w:val="VerbatimChar"/>
    <w:rPr>
      <w:rFonts w:ascii="Consolas" w:hAnsi="Consolas"/>
      <w:b/>
      <w:i/>
      <w:color w:val="60A0B0"/>
      <w:sz w:val="22"/>
    </w:rPr>
  </w:style>
  <w:style w:type="character" w:customStyle="1" w:styleId="CommentVarTok">
    <w:name w:val="CommentVarTok"/>
    <w:basedOn w:val="VerbatimChar"/>
    <w:rPr>
      <w:rFonts w:ascii="Consolas" w:hAnsi="Consolas"/>
      <w:b/>
      <w:i/>
      <w:color w:val="60A0B0"/>
      <w:sz w:val="22"/>
    </w:rPr>
  </w:style>
  <w:style w:type="character" w:customStyle="1" w:styleId="OtherTok">
    <w:name w:val="OtherTok"/>
    <w:basedOn w:val="VerbatimChar"/>
    <w:rPr>
      <w:rFonts w:ascii="Consolas" w:hAnsi="Consolas"/>
      <w:color w:val="007020"/>
      <w:sz w:val="22"/>
    </w:rPr>
  </w:style>
  <w:style w:type="character" w:customStyle="1" w:styleId="FunctionTok">
    <w:name w:val="FunctionTok"/>
    <w:basedOn w:val="VerbatimChar"/>
    <w:rPr>
      <w:rFonts w:ascii="Consolas" w:hAnsi="Consolas"/>
      <w:color w:val="06287E"/>
      <w:sz w:val="22"/>
    </w:rPr>
  </w:style>
  <w:style w:type="character" w:customStyle="1" w:styleId="VariableTok">
    <w:name w:val="VariableTok"/>
    <w:basedOn w:val="VerbatimChar"/>
    <w:rPr>
      <w:rFonts w:ascii="Consolas" w:hAnsi="Consolas"/>
      <w:color w:val="19177C"/>
      <w:sz w:val="22"/>
    </w:rPr>
  </w:style>
  <w:style w:type="character" w:customStyle="1" w:styleId="ControlFlowTok">
    <w:name w:val="ControlFlowTok"/>
    <w:basedOn w:val="VerbatimChar"/>
    <w:rPr>
      <w:rFonts w:ascii="Consolas" w:hAnsi="Consolas"/>
      <w:b/>
      <w:color w:val="007020"/>
      <w:sz w:val="22"/>
    </w:rPr>
  </w:style>
  <w:style w:type="character" w:customStyle="1" w:styleId="OperatorTok">
    <w:name w:val="OperatorTok"/>
    <w:basedOn w:val="VerbatimChar"/>
    <w:rPr>
      <w:rFonts w:ascii="Consolas" w:hAnsi="Consolas"/>
      <w:color w:val="666666"/>
      <w:sz w:val="22"/>
    </w:rPr>
  </w:style>
  <w:style w:type="character" w:customStyle="1" w:styleId="BuiltInTok">
    <w:name w:val="BuiltInTok"/>
    <w:basedOn w:val="VerbatimChar"/>
    <w:rPr>
      <w:rFonts w:ascii="Consolas" w:hAnsi="Consolas"/>
      <w:color w:val="008000"/>
      <w:sz w:val="22"/>
    </w:rPr>
  </w:style>
  <w:style w:type="character" w:customStyle="1" w:styleId="ExtensionTok">
    <w:name w:val="ExtensionTok"/>
    <w:basedOn w:val="VerbatimChar"/>
    <w:rPr>
      <w:rFonts w:ascii="Consolas" w:hAnsi="Consolas"/>
      <w:sz w:val="22"/>
    </w:rPr>
  </w:style>
  <w:style w:type="character" w:customStyle="1" w:styleId="PreprocessorTok">
    <w:name w:val="PreprocessorTok"/>
    <w:basedOn w:val="VerbatimChar"/>
    <w:rPr>
      <w:rFonts w:ascii="Consolas" w:hAnsi="Consolas"/>
      <w:color w:val="BC7A00"/>
      <w:sz w:val="22"/>
    </w:rPr>
  </w:style>
  <w:style w:type="character" w:customStyle="1" w:styleId="AttributeTok">
    <w:name w:val="AttributeTok"/>
    <w:basedOn w:val="VerbatimChar"/>
    <w:rPr>
      <w:rFonts w:ascii="Consolas" w:hAnsi="Consolas"/>
      <w:color w:val="7D9029"/>
      <w:sz w:val="22"/>
    </w:rPr>
  </w:style>
  <w:style w:type="character" w:customStyle="1" w:styleId="RegionMarkerTok">
    <w:name w:val="RegionMarkerTok"/>
    <w:basedOn w:val="VerbatimChar"/>
    <w:rPr>
      <w:rFonts w:ascii="Consolas" w:hAnsi="Consolas"/>
      <w:sz w:val="22"/>
    </w:rPr>
  </w:style>
  <w:style w:type="character" w:customStyle="1" w:styleId="InformationTok">
    <w:name w:val="InformationTok"/>
    <w:basedOn w:val="VerbatimChar"/>
    <w:rPr>
      <w:rFonts w:ascii="Consolas" w:hAnsi="Consolas"/>
      <w:b/>
      <w:i/>
      <w:color w:val="60A0B0"/>
      <w:sz w:val="22"/>
    </w:rPr>
  </w:style>
  <w:style w:type="character" w:customStyle="1" w:styleId="WarningTok">
    <w:name w:val="WarningTok"/>
    <w:basedOn w:val="VerbatimChar"/>
    <w:rPr>
      <w:rFonts w:ascii="Consolas" w:hAnsi="Consolas"/>
      <w:b/>
      <w:i/>
      <w:color w:val="60A0B0"/>
      <w:sz w:val="22"/>
    </w:rPr>
  </w:style>
  <w:style w:type="character" w:customStyle="1" w:styleId="AlertTok">
    <w:name w:val="AlertTok"/>
    <w:basedOn w:val="VerbatimChar"/>
    <w:rPr>
      <w:rFonts w:ascii="Consolas" w:hAnsi="Consolas"/>
      <w:b/>
      <w:color w:val="FF0000"/>
      <w:sz w:val="22"/>
    </w:rPr>
  </w:style>
  <w:style w:type="character" w:customStyle="1" w:styleId="ErrorTok">
    <w:name w:val="ErrorTok"/>
    <w:basedOn w:val="VerbatimChar"/>
    <w:rPr>
      <w:rFonts w:ascii="Consolas" w:hAnsi="Consolas"/>
      <w:b/>
      <w:color w:val="FF0000"/>
      <w:sz w:val="22"/>
    </w:rPr>
  </w:style>
  <w:style w:type="character" w:customStyle="1" w:styleId="NormalTok">
    <w:name w:val="NormalTok"/>
    <w:basedOn w:val="VerbatimChar"/>
    <w:rPr>
      <w:rFonts w:ascii="Consolas" w:hAnsi="Consolas"/>
      <w:sz w:val="22"/>
    </w:rPr>
  </w:style>
  <w:style w:type="paragraph" w:styleId="ListParagraph">
    <w:name w:val="List Paragraph"/>
    <w:basedOn w:val="Normal"/>
    <w:rsid w:val="009E2BAF"/>
    <w:pPr>
      <w:ind w:left="720"/>
      <w:contextualSpacing/>
    </w:pPr>
  </w:style>
  <w:style w:type="paragraph" w:styleId="NormalWeb">
    <w:name w:val="Normal (Web)"/>
    <w:basedOn w:val="Normal"/>
    <w:uiPriority w:val="99"/>
    <w:unhideWhenUsed/>
    <w:rsid w:val="00DB45FF"/>
    <w:pPr>
      <w:spacing w:before="100" w:beforeAutospacing="1" w:after="100" w:afterAutospacing="1"/>
    </w:pPr>
    <w:rPr>
      <w:rFonts w:ascii="Times New Roman" w:eastAsia="Times New Roman" w:hAnsi="Times New Roman" w:cs="Times New Roman"/>
      <w:lang w:val="pt-PT" w:eastAsia="pt-PT"/>
    </w:rPr>
  </w:style>
  <w:style w:type="character" w:styleId="Strong">
    <w:name w:val="Strong"/>
    <w:basedOn w:val="DefaultParagraphFont"/>
    <w:uiPriority w:val="22"/>
    <w:qFormat/>
    <w:rsid w:val="009A6DE8"/>
    <w:rPr>
      <w:b/>
      <w:bCs/>
    </w:rPr>
  </w:style>
  <w:style w:type="paragraph" w:customStyle="1" w:styleId="isselectedend">
    <w:name w:val="isselectedend"/>
    <w:basedOn w:val="Normal"/>
    <w:rsid w:val="00805DA4"/>
    <w:pPr>
      <w:spacing w:before="100" w:beforeAutospacing="1" w:after="100" w:afterAutospacing="1"/>
    </w:pPr>
    <w:rPr>
      <w:rFonts w:ascii="Times New Roman" w:eastAsia="Times New Roman" w:hAnsi="Times New Roman" w:cs="Times New Roman"/>
      <w:lang w:val="pt-PT" w:eastAsia="pt-PT"/>
    </w:rPr>
  </w:style>
  <w:style w:type="paragraph" w:styleId="Header">
    <w:name w:val="header"/>
    <w:basedOn w:val="Normal"/>
    <w:link w:val="HeaderChar"/>
    <w:rsid w:val="00AC46E3"/>
    <w:pPr>
      <w:tabs>
        <w:tab w:val="center" w:pos="4513"/>
        <w:tab w:val="right" w:pos="9026"/>
      </w:tabs>
      <w:spacing w:after="0"/>
    </w:pPr>
  </w:style>
  <w:style w:type="character" w:customStyle="1" w:styleId="HeaderChar">
    <w:name w:val="Header Char"/>
    <w:basedOn w:val="DefaultParagraphFont"/>
    <w:link w:val="Header"/>
    <w:rsid w:val="00AC46E3"/>
  </w:style>
  <w:style w:type="paragraph" w:styleId="Footer">
    <w:name w:val="footer"/>
    <w:basedOn w:val="Normal"/>
    <w:link w:val="FooterChar"/>
    <w:rsid w:val="00AC46E3"/>
    <w:pPr>
      <w:tabs>
        <w:tab w:val="center" w:pos="4513"/>
        <w:tab w:val="right" w:pos="9026"/>
      </w:tabs>
      <w:spacing w:after="0"/>
    </w:pPr>
  </w:style>
  <w:style w:type="character" w:customStyle="1" w:styleId="FooterChar">
    <w:name w:val="Footer Char"/>
    <w:basedOn w:val="DefaultParagraphFont"/>
    <w:link w:val="Footer"/>
    <w:rsid w:val="00AC46E3"/>
  </w:style>
  <w:style w:type="character" w:styleId="Emphasis">
    <w:name w:val="Emphasis"/>
    <w:basedOn w:val="DefaultParagraphFont"/>
    <w:uiPriority w:val="20"/>
    <w:qFormat/>
    <w:rsid w:val="00903ED6"/>
    <w:rPr>
      <w:i/>
      <w:iCs/>
    </w:rPr>
  </w:style>
  <w:style w:type="character" w:styleId="PageNumber">
    <w:name w:val="page number"/>
    <w:basedOn w:val="DefaultParagraphFont"/>
    <w:rsid w:val="001638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573068">
      <w:bodyDiv w:val="1"/>
      <w:marLeft w:val="0"/>
      <w:marRight w:val="0"/>
      <w:marTop w:val="0"/>
      <w:marBottom w:val="0"/>
      <w:divBdr>
        <w:top w:val="none" w:sz="0" w:space="0" w:color="auto"/>
        <w:left w:val="none" w:sz="0" w:space="0" w:color="auto"/>
        <w:bottom w:val="none" w:sz="0" w:space="0" w:color="auto"/>
        <w:right w:val="none" w:sz="0" w:space="0" w:color="auto"/>
      </w:divBdr>
    </w:div>
    <w:div w:id="731662632">
      <w:bodyDiv w:val="1"/>
      <w:marLeft w:val="0"/>
      <w:marRight w:val="0"/>
      <w:marTop w:val="0"/>
      <w:marBottom w:val="0"/>
      <w:divBdr>
        <w:top w:val="none" w:sz="0" w:space="0" w:color="auto"/>
        <w:left w:val="none" w:sz="0" w:space="0" w:color="auto"/>
        <w:bottom w:val="none" w:sz="0" w:space="0" w:color="auto"/>
        <w:right w:val="none" w:sz="0" w:space="0" w:color="auto"/>
      </w:divBdr>
    </w:div>
    <w:div w:id="189820255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17</Pages>
  <Words>7467</Words>
  <Characters>42564</Characters>
  <Application>Microsoft Office Word</Application>
  <DocSecurity>0</DocSecurity>
  <Lines>354</Lines>
  <Paragraphs>99</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49932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User</cp:lastModifiedBy>
  <cp:revision>2</cp:revision>
  <dcterms:created xsi:type="dcterms:W3CDTF">2026-06-23T14:50:00Z</dcterms:created>
  <dcterms:modified xsi:type="dcterms:W3CDTF">2026-06-23T14:50:00Z</dcterms:modified>
</cp:coreProperties>
</file>