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1F5308" w14:textId="13A12692" w:rsidR="005F5DBD" w:rsidRPr="0090102F" w:rsidRDefault="00346AAF">
      <w:pPr>
        <w:rPr>
          <w:rFonts w:ascii="Times New Roman" w:hAnsi="Times New Roman" w:cs="Times New Roman"/>
          <w:b/>
          <w:bCs/>
          <w:sz w:val="24"/>
          <w:szCs w:val="24"/>
          <w:lang w:val="pt-PT"/>
        </w:rPr>
      </w:pPr>
      <w:bookmarkStart w:id="0" w:name="_Hlk184121111"/>
      <w:bookmarkStart w:id="1" w:name="_GoBack"/>
      <w:bookmarkEnd w:id="1"/>
      <w:r w:rsidRPr="0090102F">
        <w:rPr>
          <w:rFonts w:ascii="Times New Roman" w:hAnsi="Times New Roman" w:cs="Times New Roman"/>
          <w:b/>
          <w:bCs/>
          <w:sz w:val="24"/>
          <w:szCs w:val="24"/>
          <w:lang w:val="pt-PT"/>
        </w:rPr>
        <w:t>Infância</w:t>
      </w:r>
      <w:r w:rsidR="005F5DBD" w:rsidRPr="0090102F">
        <w:rPr>
          <w:rFonts w:ascii="Times New Roman" w:hAnsi="Times New Roman" w:cs="Times New Roman"/>
          <w:b/>
          <w:bCs/>
          <w:sz w:val="24"/>
          <w:szCs w:val="24"/>
          <w:lang w:val="pt-PT"/>
        </w:rPr>
        <w:t xml:space="preserve"> e </w:t>
      </w:r>
      <w:r w:rsidRPr="0090102F">
        <w:rPr>
          <w:rFonts w:ascii="Times New Roman" w:hAnsi="Times New Roman" w:cs="Times New Roman"/>
          <w:b/>
          <w:bCs/>
          <w:sz w:val="24"/>
          <w:szCs w:val="24"/>
          <w:lang w:val="pt-PT"/>
        </w:rPr>
        <w:t>Promoção</w:t>
      </w:r>
      <w:r w:rsidR="005F5DBD" w:rsidRPr="0090102F">
        <w:rPr>
          <w:rFonts w:ascii="Times New Roman" w:hAnsi="Times New Roman" w:cs="Times New Roman"/>
          <w:b/>
          <w:bCs/>
          <w:sz w:val="24"/>
          <w:szCs w:val="24"/>
          <w:lang w:val="pt-PT"/>
        </w:rPr>
        <w:t xml:space="preserve"> da igualdade de </w:t>
      </w:r>
      <w:r w:rsidRPr="0090102F">
        <w:rPr>
          <w:rFonts w:ascii="Times New Roman" w:hAnsi="Times New Roman" w:cs="Times New Roman"/>
          <w:b/>
          <w:bCs/>
          <w:sz w:val="24"/>
          <w:szCs w:val="24"/>
          <w:lang w:val="pt-PT"/>
        </w:rPr>
        <w:t>género</w:t>
      </w:r>
      <w:r w:rsidR="005F5DBD" w:rsidRPr="0090102F">
        <w:rPr>
          <w:rFonts w:ascii="Times New Roman" w:hAnsi="Times New Roman" w:cs="Times New Roman"/>
          <w:b/>
          <w:bCs/>
          <w:sz w:val="24"/>
          <w:szCs w:val="24"/>
          <w:lang w:val="pt-PT"/>
        </w:rPr>
        <w:t xml:space="preserve">: </w:t>
      </w:r>
      <w:r w:rsidR="00943C4E" w:rsidRPr="0090102F">
        <w:rPr>
          <w:rFonts w:ascii="Times New Roman" w:hAnsi="Times New Roman" w:cs="Times New Roman"/>
          <w:b/>
          <w:bCs/>
          <w:sz w:val="24"/>
          <w:szCs w:val="24"/>
          <w:lang w:val="pt-PT"/>
        </w:rPr>
        <w:t>Práticas</w:t>
      </w:r>
      <w:r w:rsidR="005F5DBD" w:rsidRPr="0090102F">
        <w:rPr>
          <w:rFonts w:ascii="Times New Roman" w:hAnsi="Times New Roman" w:cs="Times New Roman"/>
          <w:b/>
          <w:bCs/>
          <w:sz w:val="24"/>
          <w:szCs w:val="24"/>
          <w:lang w:val="pt-PT"/>
        </w:rPr>
        <w:t xml:space="preserve"> </w:t>
      </w:r>
      <w:r w:rsidR="00B15A76">
        <w:rPr>
          <w:rFonts w:ascii="Times New Roman" w:hAnsi="Times New Roman" w:cs="Times New Roman"/>
          <w:b/>
          <w:bCs/>
          <w:sz w:val="24"/>
          <w:szCs w:val="24"/>
          <w:lang w:val="pt-PT"/>
        </w:rPr>
        <w:t xml:space="preserve">Educativas </w:t>
      </w:r>
      <w:r w:rsidR="005F5DBD" w:rsidRPr="0090102F">
        <w:rPr>
          <w:rFonts w:ascii="Times New Roman" w:hAnsi="Times New Roman" w:cs="Times New Roman"/>
          <w:b/>
          <w:bCs/>
          <w:sz w:val="24"/>
          <w:szCs w:val="24"/>
          <w:lang w:val="pt-PT"/>
        </w:rPr>
        <w:t>d</w:t>
      </w:r>
      <w:r w:rsidR="00CF5F78">
        <w:rPr>
          <w:rFonts w:ascii="Times New Roman" w:hAnsi="Times New Roman" w:cs="Times New Roman"/>
          <w:b/>
          <w:bCs/>
          <w:sz w:val="24"/>
          <w:szCs w:val="24"/>
          <w:lang w:val="pt-PT"/>
        </w:rPr>
        <w:t>as</w:t>
      </w:r>
      <w:r w:rsidR="005F5DBD" w:rsidRPr="0090102F">
        <w:rPr>
          <w:rFonts w:ascii="Times New Roman" w:hAnsi="Times New Roman" w:cs="Times New Roman"/>
          <w:b/>
          <w:bCs/>
          <w:sz w:val="24"/>
          <w:szCs w:val="24"/>
          <w:lang w:val="pt-PT"/>
        </w:rPr>
        <w:t xml:space="preserve"> </w:t>
      </w:r>
      <w:r w:rsidR="00902203">
        <w:rPr>
          <w:rFonts w:ascii="Times New Roman" w:hAnsi="Times New Roman" w:cs="Times New Roman"/>
          <w:b/>
          <w:bCs/>
          <w:sz w:val="24"/>
          <w:szCs w:val="24"/>
          <w:lang w:val="pt-PT"/>
        </w:rPr>
        <w:t>G</w:t>
      </w:r>
      <w:r w:rsidR="005F5DBD" w:rsidRPr="0090102F">
        <w:rPr>
          <w:rFonts w:ascii="Times New Roman" w:hAnsi="Times New Roman" w:cs="Times New Roman"/>
          <w:b/>
          <w:bCs/>
          <w:sz w:val="24"/>
          <w:szCs w:val="24"/>
          <w:lang w:val="pt-PT"/>
        </w:rPr>
        <w:t xml:space="preserve">estoras de </w:t>
      </w:r>
      <w:r w:rsidR="00CF5F78">
        <w:rPr>
          <w:rFonts w:ascii="Times New Roman" w:hAnsi="Times New Roman" w:cs="Times New Roman"/>
          <w:b/>
          <w:bCs/>
          <w:sz w:val="24"/>
          <w:szCs w:val="24"/>
          <w:lang w:val="pt-PT"/>
        </w:rPr>
        <w:t xml:space="preserve">4 </w:t>
      </w:r>
      <w:r w:rsidR="005F5DBD" w:rsidRPr="0090102F">
        <w:rPr>
          <w:rFonts w:ascii="Times New Roman" w:hAnsi="Times New Roman" w:cs="Times New Roman"/>
          <w:b/>
          <w:bCs/>
          <w:sz w:val="24"/>
          <w:szCs w:val="24"/>
          <w:lang w:val="pt-PT"/>
        </w:rPr>
        <w:t>Centros Infantis</w:t>
      </w:r>
      <w:bookmarkEnd w:id="0"/>
      <w:r w:rsidR="00CF5F78">
        <w:rPr>
          <w:rFonts w:ascii="Times New Roman" w:hAnsi="Times New Roman" w:cs="Times New Roman"/>
          <w:b/>
          <w:bCs/>
          <w:sz w:val="24"/>
          <w:szCs w:val="24"/>
          <w:lang w:val="pt-PT"/>
        </w:rPr>
        <w:t>, Maputo</w:t>
      </w:r>
    </w:p>
    <w:p w14:paraId="0B9B3FE1" w14:textId="5EFB9904" w:rsidR="00346AAF" w:rsidRDefault="00346AAF" w:rsidP="00346AAF">
      <w:pPr>
        <w:jc w:val="right"/>
        <w:rPr>
          <w:rFonts w:ascii="Times New Roman" w:hAnsi="Times New Roman" w:cs="Times New Roman"/>
          <w:sz w:val="24"/>
          <w:szCs w:val="24"/>
          <w:lang w:val="pt-PT"/>
        </w:rPr>
      </w:pPr>
      <w:r w:rsidRPr="00346AAF">
        <w:rPr>
          <w:rFonts w:ascii="Times New Roman" w:hAnsi="Times New Roman" w:cs="Times New Roman"/>
          <w:sz w:val="24"/>
          <w:szCs w:val="24"/>
          <w:lang w:val="pt-PT"/>
        </w:rPr>
        <w:t>Isália Gabriel Licença Mate</w:t>
      </w:r>
    </w:p>
    <w:p w14:paraId="06E10E5A" w14:textId="63F42C50" w:rsidR="006F204C" w:rsidRDefault="006F204C" w:rsidP="00346AAF">
      <w:pPr>
        <w:jc w:val="right"/>
        <w:rPr>
          <w:rFonts w:ascii="Times New Roman" w:hAnsi="Times New Roman" w:cs="Times New Roman"/>
          <w:sz w:val="24"/>
          <w:szCs w:val="24"/>
          <w:lang w:val="pt-PT"/>
        </w:rPr>
      </w:pPr>
      <w:r>
        <w:rPr>
          <w:rFonts w:ascii="Times New Roman" w:hAnsi="Times New Roman" w:cs="Times New Roman"/>
          <w:sz w:val="24"/>
          <w:szCs w:val="24"/>
          <w:lang w:val="pt-PT"/>
        </w:rPr>
        <w:t>Universidade Eduardo Mondlane</w:t>
      </w:r>
    </w:p>
    <w:p w14:paraId="083F7A80" w14:textId="2365DCFF" w:rsidR="006F204C" w:rsidRPr="00346AAF" w:rsidRDefault="00DA4FE8" w:rsidP="00346AAF">
      <w:pPr>
        <w:jc w:val="right"/>
        <w:rPr>
          <w:rFonts w:ascii="Times New Roman" w:hAnsi="Times New Roman" w:cs="Times New Roman"/>
          <w:sz w:val="24"/>
          <w:szCs w:val="24"/>
          <w:lang w:val="pt-PT"/>
        </w:rPr>
      </w:pPr>
      <w:hyperlink r:id="rId9" w:history="1">
        <w:r w:rsidR="006F204C" w:rsidRPr="00346AAF">
          <w:rPr>
            <w:rStyle w:val="Hyperlink"/>
            <w:rFonts w:ascii="Arial" w:hAnsi="Arial" w:cs="Arial"/>
            <w:sz w:val="23"/>
            <w:szCs w:val="23"/>
            <w:shd w:val="clear" w:color="auto" w:fill="FFFFFF"/>
            <w:lang w:val="pt-PT"/>
          </w:rPr>
          <w:t>isaliagl@gmail.com</w:t>
        </w:r>
      </w:hyperlink>
    </w:p>
    <w:p w14:paraId="05904447" w14:textId="77777777" w:rsidR="00346AAF" w:rsidRDefault="00346AAF" w:rsidP="00346AAF">
      <w:pPr>
        <w:jc w:val="right"/>
        <w:rPr>
          <w:rFonts w:ascii="Times New Roman" w:hAnsi="Times New Roman" w:cs="Times New Roman"/>
          <w:sz w:val="24"/>
          <w:szCs w:val="24"/>
          <w:lang w:val="pt-PT"/>
        </w:rPr>
      </w:pPr>
      <w:r w:rsidRPr="00346AAF">
        <w:rPr>
          <w:rFonts w:ascii="Times New Roman" w:hAnsi="Times New Roman" w:cs="Times New Roman"/>
          <w:sz w:val="24"/>
          <w:szCs w:val="24"/>
          <w:lang w:val="pt-PT"/>
        </w:rPr>
        <w:t xml:space="preserve">Bendita Donaciano Lopes </w:t>
      </w:r>
    </w:p>
    <w:p w14:paraId="32499350" w14:textId="39212B85" w:rsidR="006F204C" w:rsidRPr="00346AAF" w:rsidRDefault="006F204C" w:rsidP="00346AAF">
      <w:pPr>
        <w:jc w:val="right"/>
        <w:rPr>
          <w:rFonts w:ascii="Times New Roman" w:hAnsi="Times New Roman" w:cs="Times New Roman"/>
          <w:sz w:val="24"/>
          <w:szCs w:val="24"/>
          <w:lang w:val="pt-PT"/>
        </w:rPr>
      </w:pPr>
      <w:r>
        <w:rPr>
          <w:rFonts w:ascii="Times New Roman" w:hAnsi="Times New Roman" w:cs="Times New Roman"/>
          <w:sz w:val="24"/>
          <w:szCs w:val="24"/>
          <w:lang w:val="pt-PT"/>
        </w:rPr>
        <w:t>Universidade Pedagógica de Maputo</w:t>
      </w:r>
    </w:p>
    <w:p w14:paraId="0A980D4C" w14:textId="77777777" w:rsidR="00346AAF" w:rsidRPr="00346AAF" w:rsidRDefault="00DA4FE8" w:rsidP="00346AAF">
      <w:pPr>
        <w:jc w:val="right"/>
        <w:rPr>
          <w:rFonts w:ascii="Times New Roman" w:hAnsi="Times New Roman" w:cs="Times New Roman"/>
          <w:sz w:val="24"/>
          <w:szCs w:val="24"/>
          <w:lang w:val="pt-PT"/>
        </w:rPr>
      </w:pPr>
      <w:hyperlink r:id="rId10" w:history="1">
        <w:r w:rsidR="00346AAF" w:rsidRPr="00346AAF">
          <w:rPr>
            <w:rStyle w:val="Hyperlink"/>
            <w:rFonts w:ascii="Times New Roman" w:hAnsi="Times New Roman" w:cs="Times New Roman"/>
            <w:sz w:val="24"/>
            <w:szCs w:val="24"/>
            <w:lang w:val="pt-PT"/>
          </w:rPr>
          <w:t>donacianob@gmail.com</w:t>
        </w:r>
      </w:hyperlink>
    </w:p>
    <w:p w14:paraId="0642C440" w14:textId="60C71A66" w:rsidR="00346AAF" w:rsidRDefault="00346AAF" w:rsidP="00346AAF">
      <w:pPr>
        <w:jc w:val="right"/>
        <w:rPr>
          <w:rFonts w:ascii="Times New Roman" w:hAnsi="Times New Roman" w:cs="Times New Roman"/>
          <w:sz w:val="24"/>
          <w:szCs w:val="24"/>
          <w:lang w:val="pt-PT"/>
        </w:rPr>
      </w:pPr>
      <w:r w:rsidRPr="00346AAF">
        <w:rPr>
          <w:rFonts w:ascii="Times New Roman" w:hAnsi="Times New Roman" w:cs="Times New Roman"/>
          <w:sz w:val="24"/>
          <w:szCs w:val="24"/>
          <w:lang w:val="pt-PT"/>
        </w:rPr>
        <w:t>António Cipriano P</w:t>
      </w:r>
      <w:r w:rsidR="006F204C">
        <w:rPr>
          <w:rFonts w:ascii="Times New Roman" w:hAnsi="Times New Roman" w:cs="Times New Roman"/>
          <w:sz w:val="24"/>
          <w:szCs w:val="24"/>
          <w:lang w:val="pt-PT"/>
        </w:rPr>
        <w:t>arafino</w:t>
      </w:r>
      <w:r w:rsidRPr="00346AAF">
        <w:rPr>
          <w:rFonts w:ascii="Times New Roman" w:hAnsi="Times New Roman" w:cs="Times New Roman"/>
          <w:sz w:val="24"/>
          <w:szCs w:val="24"/>
          <w:lang w:val="pt-PT"/>
        </w:rPr>
        <w:t xml:space="preserve"> Gonç</w:t>
      </w:r>
      <w:r>
        <w:rPr>
          <w:rFonts w:ascii="Times New Roman" w:hAnsi="Times New Roman" w:cs="Times New Roman"/>
          <w:sz w:val="24"/>
          <w:szCs w:val="24"/>
          <w:lang w:val="pt-PT"/>
        </w:rPr>
        <w:t>a</w:t>
      </w:r>
      <w:r w:rsidRPr="00346AAF">
        <w:rPr>
          <w:rFonts w:ascii="Times New Roman" w:hAnsi="Times New Roman" w:cs="Times New Roman"/>
          <w:sz w:val="24"/>
          <w:szCs w:val="24"/>
          <w:lang w:val="pt-PT"/>
        </w:rPr>
        <w:t>lves</w:t>
      </w:r>
    </w:p>
    <w:p w14:paraId="31193E8D" w14:textId="027D52D5" w:rsidR="006F204C" w:rsidRDefault="006F204C" w:rsidP="00346AAF">
      <w:pPr>
        <w:jc w:val="right"/>
        <w:rPr>
          <w:rFonts w:ascii="Times New Roman" w:hAnsi="Times New Roman" w:cs="Times New Roman"/>
          <w:sz w:val="24"/>
          <w:szCs w:val="24"/>
          <w:lang w:val="pt-PT"/>
        </w:rPr>
      </w:pPr>
      <w:r>
        <w:rPr>
          <w:rFonts w:ascii="Times New Roman" w:hAnsi="Times New Roman" w:cs="Times New Roman"/>
          <w:sz w:val="24"/>
          <w:szCs w:val="24"/>
          <w:lang w:val="pt-PT"/>
        </w:rPr>
        <w:t>Universidade Eduardo Mondlane</w:t>
      </w:r>
    </w:p>
    <w:p w14:paraId="2F911675" w14:textId="4C68824B" w:rsidR="006F204C" w:rsidRPr="00346AAF" w:rsidRDefault="00DA4FE8" w:rsidP="00346AAF">
      <w:pPr>
        <w:jc w:val="right"/>
        <w:rPr>
          <w:rFonts w:ascii="Times New Roman" w:hAnsi="Times New Roman" w:cs="Times New Roman"/>
          <w:sz w:val="24"/>
          <w:szCs w:val="24"/>
          <w:lang w:val="pt-PT"/>
        </w:rPr>
      </w:pPr>
      <w:hyperlink r:id="rId11" w:history="1">
        <w:r w:rsidR="006F204C" w:rsidRPr="005D2B75">
          <w:rPr>
            <w:rStyle w:val="Hyperlink"/>
            <w:rFonts w:ascii="Times New Roman" w:hAnsi="Times New Roman" w:cs="Times New Roman"/>
            <w:sz w:val="24"/>
            <w:szCs w:val="24"/>
            <w:lang w:val="pt-PT"/>
          </w:rPr>
          <w:t>ciprix2006@gmail.com</w:t>
        </w:r>
      </w:hyperlink>
    </w:p>
    <w:p w14:paraId="5B21618C" w14:textId="6FA2D390" w:rsidR="009271D5" w:rsidRPr="00D76569" w:rsidRDefault="009271D5" w:rsidP="001E50D5">
      <w:pPr>
        <w:spacing w:line="240" w:lineRule="auto"/>
        <w:jc w:val="both"/>
        <w:rPr>
          <w:rFonts w:ascii="Times New Roman" w:hAnsi="Times New Roman" w:cs="Times New Roman"/>
          <w:b/>
          <w:bCs/>
          <w:sz w:val="20"/>
          <w:szCs w:val="20"/>
          <w:lang w:val="pt-PT"/>
        </w:rPr>
      </w:pPr>
      <w:r w:rsidRPr="00D76569">
        <w:rPr>
          <w:rFonts w:ascii="Times New Roman" w:hAnsi="Times New Roman" w:cs="Times New Roman"/>
          <w:b/>
          <w:bCs/>
          <w:sz w:val="20"/>
          <w:szCs w:val="20"/>
          <w:lang w:val="pt-PT"/>
        </w:rPr>
        <w:t>Resumo</w:t>
      </w:r>
    </w:p>
    <w:p w14:paraId="11FFA305" w14:textId="0F144FEF" w:rsidR="00943C4E" w:rsidRPr="00D76569" w:rsidRDefault="001D5D09" w:rsidP="001E50D5">
      <w:pPr>
        <w:spacing w:line="240" w:lineRule="auto"/>
        <w:jc w:val="both"/>
        <w:rPr>
          <w:rFonts w:ascii="Times New Roman" w:hAnsi="Times New Roman" w:cs="Times New Roman"/>
          <w:sz w:val="20"/>
          <w:szCs w:val="20"/>
          <w:lang w:val="pt-PT"/>
        </w:rPr>
      </w:pPr>
      <w:r>
        <w:rPr>
          <w:rFonts w:ascii="Times New Roman" w:hAnsi="Times New Roman" w:cs="Times New Roman"/>
          <w:sz w:val="20"/>
          <w:szCs w:val="20"/>
          <w:lang w:val="pt-PT"/>
        </w:rPr>
        <w:t xml:space="preserve">Este artigo apresenta a </w:t>
      </w:r>
      <w:r w:rsidRPr="00D76569">
        <w:rPr>
          <w:rFonts w:ascii="Times New Roman" w:hAnsi="Times New Roman" w:cs="Times New Roman"/>
          <w:sz w:val="20"/>
          <w:szCs w:val="20"/>
          <w:lang w:val="pt-PT"/>
        </w:rPr>
        <w:t>aná</w:t>
      </w:r>
      <w:r>
        <w:rPr>
          <w:rFonts w:ascii="Times New Roman" w:hAnsi="Times New Roman" w:cs="Times New Roman"/>
          <w:sz w:val="20"/>
          <w:szCs w:val="20"/>
          <w:lang w:val="pt-PT"/>
        </w:rPr>
        <w:t>l</w:t>
      </w:r>
      <w:r w:rsidRPr="00D76569">
        <w:rPr>
          <w:rFonts w:ascii="Times New Roman" w:hAnsi="Times New Roman" w:cs="Times New Roman"/>
          <w:sz w:val="20"/>
          <w:szCs w:val="20"/>
          <w:lang w:val="pt-PT"/>
        </w:rPr>
        <w:t>ise</w:t>
      </w:r>
      <w:r w:rsidR="005F49CD" w:rsidRPr="00D76569">
        <w:rPr>
          <w:rFonts w:ascii="Times New Roman" w:hAnsi="Times New Roman" w:cs="Times New Roman"/>
          <w:sz w:val="20"/>
          <w:szCs w:val="20"/>
          <w:lang w:val="pt-PT"/>
        </w:rPr>
        <w:t xml:space="preserve"> </w:t>
      </w:r>
      <w:r>
        <w:rPr>
          <w:rFonts w:ascii="Times New Roman" w:hAnsi="Times New Roman" w:cs="Times New Roman"/>
          <w:sz w:val="20"/>
          <w:szCs w:val="20"/>
          <w:lang w:val="pt-PT"/>
        </w:rPr>
        <w:t>d</w:t>
      </w:r>
      <w:r w:rsidR="005F49CD" w:rsidRPr="00D76569">
        <w:rPr>
          <w:rFonts w:ascii="Times New Roman" w:hAnsi="Times New Roman" w:cs="Times New Roman"/>
          <w:sz w:val="20"/>
          <w:szCs w:val="20"/>
          <w:lang w:val="pt-PT"/>
        </w:rPr>
        <w:t xml:space="preserve">as </w:t>
      </w:r>
      <w:r w:rsidR="00F36FE3" w:rsidRPr="00D76569">
        <w:rPr>
          <w:rFonts w:ascii="Times New Roman" w:hAnsi="Times New Roman" w:cs="Times New Roman"/>
          <w:sz w:val="20"/>
          <w:szCs w:val="20"/>
          <w:lang w:val="pt-PT"/>
        </w:rPr>
        <w:t>práticas</w:t>
      </w:r>
      <w:r>
        <w:rPr>
          <w:rFonts w:ascii="Times New Roman" w:hAnsi="Times New Roman" w:cs="Times New Roman"/>
          <w:sz w:val="20"/>
          <w:szCs w:val="20"/>
          <w:lang w:val="pt-PT"/>
        </w:rPr>
        <w:t xml:space="preserve"> educativas</w:t>
      </w:r>
      <w:r w:rsidR="00F36FE3" w:rsidRPr="00D76569">
        <w:rPr>
          <w:rFonts w:ascii="Times New Roman" w:hAnsi="Times New Roman" w:cs="Times New Roman"/>
          <w:sz w:val="20"/>
          <w:szCs w:val="20"/>
          <w:lang w:val="pt-PT"/>
        </w:rPr>
        <w:t xml:space="preserve"> </w:t>
      </w:r>
      <w:r w:rsidR="007026A5" w:rsidRPr="00D76569">
        <w:rPr>
          <w:rFonts w:ascii="Times New Roman" w:hAnsi="Times New Roman" w:cs="Times New Roman"/>
          <w:sz w:val="20"/>
          <w:szCs w:val="20"/>
          <w:lang w:val="pt-PT"/>
        </w:rPr>
        <w:t xml:space="preserve">das gestoras </w:t>
      </w:r>
      <w:r w:rsidR="00F36FE3" w:rsidRPr="00D76569">
        <w:rPr>
          <w:rFonts w:ascii="Times New Roman" w:hAnsi="Times New Roman" w:cs="Times New Roman"/>
          <w:sz w:val="20"/>
          <w:szCs w:val="20"/>
          <w:lang w:val="pt-PT"/>
        </w:rPr>
        <w:t>para a promoção da igualdade de género na infância em quatro Centros Infantis</w:t>
      </w:r>
      <w:r w:rsidRPr="001D5D09">
        <w:rPr>
          <w:rFonts w:ascii="Times New Roman" w:hAnsi="Times New Roman" w:cs="Times New Roman"/>
          <w:sz w:val="20"/>
          <w:szCs w:val="20"/>
          <w:lang w:val="pt-PT"/>
        </w:rPr>
        <w:t xml:space="preserve"> </w:t>
      </w:r>
      <w:r w:rsidRPr="00D76569">
        <w:rPr>
          <w:rFonts w:ascii="Times New Roman" w:hAnsi="Times New Roman" w:cs="Times New Roman"/>
          <w:sz w:val="20"/>
          <w:szCs w:val="20"/>
          <w:lang w:val="pt-PT"/>
        </w:rPr>
        <w:t>na Cidade de Maputo</w:t>
      </w:r>
      <w:r w:rsidR="00F36FE3" w:rsidRPr="00D76569">
        <w:rPr>
          <w:rFonts w:ascii="Times New Roman" w:hAnsi="Times New Roman" w:cs="Times New Roman"/>
          <w:sz w:val="20"/>
          <w:szCs w:val="20"/>
          <w:lang w:val="pt-PT"/>
        </w:rPr>
        <w:t xml:space="preserve">. A abordagem </w:t>
      </w:r>
      <w:r w:rsidR="000525CB">
        <w:rPr>
          <w:rFonts w:ascii="Times New Roman" w:hAnsi="Times New Roman" w:cs="Times New Roman"/>
          <w:sz w:val="20"/>
          <w:szCs w:val="20"/>
          <w:lang w:val="pt-PT"/>
        </w:rPr>
        <w:t>foi</w:t>
      </w:r>
      <w:r w:rsidR="00F36FE3" w:rsidRPr="00D76569">
        <w:rPr>
          <w:rFonts w:ascii="Times New Roman" w:hAnsi="Times New Roman" w:cs="Times New Roman"/>
          <w:sz w:val="20"/>
          <w:szCs w:val="20"/>
          <w:lang w:val="pt-PT"/>
        </w:rPr>
        <w:t xml:space="preserve"> qualitativa</w:t>
      </w:r>
      <w:r w:rsidR="009271D5" w:rsidRPr="00D76569">
        <w:rPr>
          <w:rFonts w:ascii="Times New Roman" w:hAnsi="Times New Roman" w:cs="Times New Roman"/>
          <w:sz w:val="20"/>
          <w:szCs w:val="20"/>
          <w:lang w:val="pt-PT"/>
        </w:rPr>
        <w:t>,</w:t>
      </w:r>
      <w:r w:rsidR="00F36FE3" w:rsidRPr="00D76569">
        <w:rPr>
          <w:rFonts w:ascii="Times New Roman" w:hAnsi="Times New Roman" w:cs="Times New Roman"/>
          <w:sz w:val="20"/>
          <w:szCs w:val="20"/>
          <w:lang w:val="pt-PT"/>
        </w:rPr>
        <w:t xml:space="preserve"> tipo estudo de casos múltiplos e entrevista semi-estruturada e observação</w:t>
      </w:r>
      <w:r w:rsidR="0056716A" w:rsidRPr="00D76569">
        <w:rPr>
          <w:rFonts w:ascii="Times New Roman" w:hAnsi="Times New Roman" w:cs="Times New Roman"/>
          <w:sz w:val="20"/>
          <w:szCs w:val="20"/>
          <w:lang w:val="pt-PT"/>
        </w:rPr>
        <w:t xml:space="preserve"> como técnicas de recolha de dados. A </w:t>
      </w:r>
      <w:r w:rsidR="00111BF0" w:rsidRPr="00D76569">
        <w:rPr>
          <w:rFonts w:ascii="Times New Roman" w:hAnsi="Times New Roman" w:cs="Times New Roman"/>
          <w:sz w:val="20"/>
          <w:szCs w:val="20"/>
          <w:lang w:val="pt-PT"/>
        </w:rPr>
        <w:t>análise</w:t>
      </w:r>
      <w:r w:rsidR="0056716A" w:rsidRPr="00D76569">
        <w:rPr>
          <w:rFonts w:ascii="Times New Roman" w:hAnsi="Times New Roman" w:cs="Times New Roman"/>
          <w:sz w:val="20"/>
          <w:szCs w:val="20"/>
          <w:lang w:val="pt-PT"/>
        </w:rPr>
        <w:t xml:space="preserve"> de conteúdo para a </w:t>
      </w:r>
      <w:r w:rsidR="00D021DC" w:rsidRPr="00D76569">
        <w:rPr>
          <w:rFonts w:ascii="Times New Roman" w:hAnsi="Times New Roman" w:cs="Times New Roman"/>
          <w:sz w:val="20"/>
          <w:szCs w:val="20"/>
          <w:lang w:val="pt-PT"/>
        </w:rPr>
        <w:t>análise</w:t>
      </w:r>
      <w:r w:rsidR="0056716A" w:rsidRPr="00D76569">
        <w:rPr>
          <w:rFonts w:ascii="Times New Roman" w:hAnsi="Times New Roman" w:cs="Times New Roman"/>
          <w:sz w:val="20"/>
          <w:szCs w:val="20"/>
          <w:lang w:val="pt-PT"/>
        </w:rPr>
        <w:t xml:space="preserve"> de dados</w:t>
      </w:r>
      <w:r w:rsidR="000525CB">
        <w:rPr>
          <w:rFonts w:ascii="Times New Roman" w:hAnsi="Times New Roman" w:cs="Times New Roman"/>
          <w:sz w:val="20"/>
          <w:szCs w:val="20"/>
          <w:lang w:val="pt-PT"/>
        </w:rPr>
        <w:t xml:space="preserve"> e a discussão com base nas teorias de Regimes de desigualdades e Injustiça epistémica</w:t>
      </w:r>
      <w:r w:rsidR="0056716A" w:rsidRPr="00D76569">
        <w:rPr>
          <w:rFonts w:ascii="Times New Roman" w:hAnsi="Times New Roman" w:cs="Times New Roman"/>
          <w:sz w:val="20"/>
          <w:szCs w:val="20"/>
          <w:lang w:val="pt-PT"/>
        </w:rPr>
        <w:t xml:space="preserve">. Os resultados demonstram gestoras cientes da igualdade de género ao indicar como igualdade de direitos e/ou oportunidades independente do género, assim como reconhecem a relevância da </w:t>
      </w:r>
      <w:r w:rsidR="00D76569">
        <w:rPr>
          <w:rFonts w:ascii="Times New Roman" w:hAnsi="Times New Roman" w:cs="Times New Roman"/>
          <w:sz w:val="20"/>
          <w:szCs w:val="20"/>
          <w:lang w:val="pt-PT"/>
        </w:rPr>
        <w:t xml:space="preserve">sua </w:t>
      </w:r>
      <w:r w:rsidR="0056716A" w:rsidRPr="00D76569">
        <w:rPr>
          <w:rFonts w:ascii="Times New Roman" w:hAnsi="Times New Roman" w:cs="Times New Roman"/>
          <w:sz w:val="20"/>
          <w:szCs w:val="20"/>
          <w:lang w:val="pt-PT"/>
        </w:rPr>
        <w:t xml:space="preserve">promoção na infância. </w:t>
      </w:r>
      <w:r w:rsidR="006F2838" w:rsidRPr="00D76569">
        <w:rPr>
          <w:rFonts w:ascii="Times New Roman" w:hAnsi="Times New Roman" w:cs="Times New Roman"/>
          <w:sz w:val="20"/>
          <w:szCs w:val="20"/>
          <w:lang w:val="pt-PT"/>
        </w:rPr>
        <w:t xml:space="preserve">A forma como se implementa nos </w:t>
      </w:r>
      <w:r w:rsidR="00D76569">
        <w:rPr>
          <w:rFonts w:ascii="Times New Roman" w:hAnsi="Times New Roman" w:cs="Times New Roman"/>
          <w:sz w:val="20"/>
          <w:szCs w:val="20"/>
          <w:lang w:val="pt-PT"/>
        </w:rPr>
        <w:t>C</w:t>
      </w:r>
      <w:r w:rsidR="006F2838" w:rsidRPr="00D76569">
        <w:rPr>
          <w:rFonts w:ascii="Times New Roman" w:hAnsi="Times New Roman" w:cs="Times New Roman"/>
          <w:sz w:val="20"/>
          <w:szCs w:val="20"/>
          <w:lang w:val="pt-PT"/>
        </w:rPr>
        <w:t>entros</w:t>
      </w:r>
      <w:r w:rsidR="00D76569">
        <w:rPr>
          <w:rFonts w:ascii="Times New Roman" w:hAnsi="Times New Roman" w:cs="Times New Roman"/>
          <w:sz w:val="20"/>
          <w:szCs w:val="20"/>
          <w:lang w:val="pt-PT"/>
        </w:rPr>
        <w:t xml:space="preserve"> Infantis</w:t>
      </w:r>
      <w:r w:rsidR="006F2838" w:rsidRPr="00D76569">
        <w:rPr>
          <w:rFonts w:ascii="Times New Roman" w:hAnsi="Times New Roman" w:cs="Times New Roman"/>
          <w:sz w:val="20"/>
          <w:szCs w:val="20"/>
          <w:lang w:val="pt-PT"/>
        </w:rPr>
        <w:t xml:space="preserve"> indicam a não separação das crianças pelo sexo nas actividades, a conceção da liberdade de a criança escolher o brinquedo com o qual quer brincar, assim como clarificar </w:t>
      </w:r>
      <w:r w:rsidR="00D032F7" w:rsidRPr="00D76569">
        <w:rPr>
          <w:rFonts w:ascii="Times New Roman" w:hAnsi="Times New Roman" w:cs="Times New Roman"/>
          <w:sz w:val="20"/>
          <w:szCs w:val="20"/>
          <w:lang w:val="pt-PT"/>
        </w:rPr>
        <w:t>à</w:t>
      </w:r>
      <w:r w:rsidR="00D032F7">
        <w:rPr>
          <w:rFonts w:ascii="Times New Roman" w:hAnsi="Times New Roman" w:cs="Times New Roman"/>
          <w:sz w:val="20"/>
          <w:szCs w:val="20"/>
          <w:lang w:val="pt-PT"/>
        </w:rPr>
        <w:t>s</w:t>
      </w:r>
      <w:r w:rsidR="006F2838" w:rsidRPr="00D76569">
        <w:rPr>
          <w:rFonts w:ascii="Times New Roman" w:hAnsi="Times New Roman" w:cs="Times New Roman"/>
          <w:sz w:val="20"/>
          <w:szCs w:val="20"/>
          <w:lang w:val="pt-PT"/>
        </w:rPr>
        <w:t xml:space="preserve"> crianças que menina e menino podem exercer a mesma função. Em simultâneo</w:t>
      </w:r>
      <w:r w:rsidR="0056716A" w:rsidRPr="00D76569">
        <w:rPr>
          <w:rFonts w:ascii="Times New Roman" w:hAnsi="Times New Roman" w:cs="Times New Roman"/>
          <w:sz w:val="20"/>
          <w:szCs w:val="20"/>
          <w:lang w:val="pt-PT"/>
        </w:rPr>
        <w:t xml:space="preserve"> visualiza-se centros com total gestão </w:t>
      </w:r>
      <w:r w:rsidR="00111BF0" w:rsidRPr="00D76569">
        <w:rPr>
          <w:rFonts w:ascii="Times New Roman" w:hAnsi="Times New Roman" w:cs="Times New Roman"/>
          <w:sz w:val="20"/>
          <w:szCs w:val="20"/>
          <w:lang w:val="pt-PT"/>
        </w:rPr>
        <w:t>feminina</w:t>
      </w:r>
      <w:r w:rsidR="00D021DC" w:rsidRPr="00D76569">
        <w:rPr>
          <w:rFonts w:ascii="Times New Roman" w:hAnsi="Times New Roman" w:cs="Times New Roman"/>
          <w:sz w:val="20"/>
          <w:szCs w:val="20"/>
          <w:lang w:val="pt-PT"/>
        </w:rPr>
        <w:t>,</w:t>
      </w:r>
      <w:r w:rsidR="00111BF0" w:rsidRPr="00D76569">
        <w:rPr>
          <w:rFonts w:ascii="Times New Roman" w:hAnsi="Times New Roman" w:cs="Times New Roman"/>
          <w:sz w:val="20"/>
          <w:szCs w:val="20"/>
          <w:lang w:val="pt-PT"/>
        </w:rPr>
        <w:t xml:space="preserve"> apenas um educador a trabalhar em um dos quatro centros e as gestoras tem a mulher como a mais indicada para a profissão</w:t>
      </w:r>
      <w:r w:rsidR="00AF1340">
        <w:rPr>
          <w:rFonts w:ascii="Times New Roman" w:hAnsi="Times New Roman" w:cs="Times New Roman"/>
          <w:sz w:val="20"/>
          <w:szCs w:val="20"/>
          <w:lang w:val="pt-PT"/>
        </w:rPr>
        <w:t xml:space="preserve"> e a reação negativa dos pais e sociedade aos educadores</w:t>
      </w:r>
      <w:r w:rsidR="00111BF0" w:rsidRPr="00D76569">
        <w:rPr>
          <w:rFonts w:ascii="Times New Roman" w:hAnsi="Times New Roman" w:cs="Times New Roman"/>
          <w:sz w:val="20"/>
          <w:szCs w:val="20"/>
          <w:lang w:val="pt-PT"/>
        </w:rPr>
        <w:t xml:space="preserve">. </w:t>
      </w:r>
      <w:r w:rsidR="000525CB">
        <w:rPr>
          <w:rFonts w:ascii="Times New Roman" w:hAnsi="Times New Roman" w:cs="Times New Roman"/>
          <w:sz w:val="20"/>
          <w:szCs w:val="20"/>
          <w:lang w:val="pt-PT"/>
        </w:rPr>
        <w:t>Assim,</w:t>
      </w:r>
      <w:r w:rsidR="006F2838" w:rsidRPr="00D76569">
        <w:rPr>
          <w:rFonts w:ascii="Times New Roman" w:hAnsi="Times New Roman" w:cs="Times New Roman"/>
          <w:sz w:val="20"/>
          <w:szCs w:val="20"/>
          <w:lang w:val="pt-PT"/>
        </w:rPr>
        <w:t xml:space="preserve"> conclui</w:t>
      </w:r>
      <w:r w:rsidR="000525CB">
        <w:rPr>
          <w:rFonts w:ascii="Times New Roman" w:hAnsi="Times New Roman" w:cs="Times New Roman"/>
          <w:sz w:val="20"/>
          <w:szCs w:val="20"/>
          <w:lang w:val="pt-PT"/>
        </w:rPr>
        <w:t>-se</w:t>
      </w:r>
      <w:r w:rsidR="006F2838" w:rsidRPr="00D76569">
        <w:rPr>
          <w:rFonts w:ascii="Times New Roman" w:hAnsi="Times New Roman" w:cs="Times New Roman"/>
          <w:sz w:val="20"/>
          <w:szCs w:val="20"/>
          <w:lang w:val="pt-PT"/>
        </w:rPr>
        <w:t xml:space="preserve"> que </w:t>
      </w:r>
      <w:r>
        <w:rPr>
          <w:rFonts w:ascii="Times New Roman" w:hAnsi="Times New Roman" w:cs="Times New Roman"/>
          <w:sz w:val="20"/>
          <w:szCs w:val="20"/>
          <w:lang w:val="pt-PT"/>
        </w:rPr>
        <w:t xml:space="preserve">há deficiência nas práticas educativas, uma vez que </w:t>
      </w:r>
      <w:r w:rsidR="006F2838" w:rsidRPr="00D76569">
        <w:rPr>
          <w:rFonts w:ascii="Times New Roman" w:hAnsi="Times New Roman" w:cs="Times New Roman"/>
          <w:sz w:val="20"/>
          <w:szCs w:val="20"/>
          <w:lang w:val="pt-PT"/>
        </w:rPr>
        <w:t xml:space="preserve">as </w:t>
      </w:r>
      <w:r w:rsidR="00284FC4" w:rsidRPr="00D76569">
        <w:rPr>
          <w:rFonts w:ascii="Times New Roman" w:hAnsi="Times New Roman" w:cs="Times New Roman"/>
          <w:sz w:val="20"/>
          <w:szCs w:val="20"/>
          <w:lang w:val="pt-PT"/>
        </w:rPr>
        <w:t>noções</w:t>
      </w:r>
      <w:r w:rsidR="006F2838" w:rsidRPr="00D76569">
        <w:rPr>
          <w:rFonts w:ascii="Times New Roman" w:hAnsi="Times New Roman" w:cs="Times New Roman"/>
          <w:sz w:val="20"/>
          <w:szCs w:val="20"/>
          <w:lang w:val="pt-PT"/>
        </w:rPr>
        <w:t xml:space="preserve"> sobre a igualdade de </w:t>
      </w:r>
      <w:r w:rsidR="00284FC4" w:rsidRPr="00D76569">
        <w:rPr>
          <w:rFonts w:ascii="Times New Roman" w:hAnsi="Times New Roman" w:cs="Times New Roman"/>
          <w:sz w:val="20"/>
          <w:szCs w:val="20"/>
          <w:lang w:val="pt-PT"/>
        </w:rPr>
        <w:t>género</w:t>
      </w:r>
      <w:r w:rsidR="006F2838" w:rsidRPr="00D76569">
        <w:rPr>
          <w:rFonts w:ascii="Times New Roman" w:hAnsi="Times New Roman" w:cs="Times New Roman"/>
          <w:sz w:val="20"/>
          <w:szCs w:val="20"/>
          <w:lang w:val="pt-PT"/>
        </w:rPr>
        <w:t xml:space="preserve"> e o reconhecimento da relevância conduzem as gestoras a um esforço da implementação de </w:t>
      </w:r>
      <w:r w:rsidR="00D021DC" w:rsidRPr="00D76569">
        <w:rPr>
          <w:rFonts w:ascii="Times New Roman" w:hAnsi="Times New Roman" w:cs="Times New Roman"/>
          <w:sz w:val="20"/>
          <w:szCs w:val="20"/>
          <w:lang w:val="pt-PT"/>
        </w:rPr>
        <w:t>práticas</w:t>
      </w:r>
      <w:r w:rsidR="006F2838" w:rsidRPr="00D76569">
        <w:rPr>
          <w:rFonts w:ascii="Times New Roman" w:hAnsi="Times New Roman" w:cs="Times New Roman"/>
          <w:sz w:val="20"/>
          <w:szCs w:val="20"/>
          <w:lang w:val="pt-PT"/>
        </w:rPr>
        <w:t xml:space="preserve"> conducentes </w:t>
      </w:r>
      <w:r w:rsidR="00284FC4" w:rsidRPr="00D76569">
        <w:rPr>
          <w:rFonts w:ascii="Times New Roman" w:hAnsi="Times New Roman" w:cs="Times New Roman"/>
          <w:sz w:val="20"/>
          <w:szCs w:val="20"/>
          <w:lang w:val="pt-PT"/>
        </w:rPr>
        <w:t>à</w:t>
      </w:r>
      <w:r w:rsidR="006F2838" w:rsidRPr="00D76569">
        <w:rPr>
          <w:rFonts w:ascii="Times New Roman" w:hAnsi="Times New Roman" w:cs="Times New Roman"/>
          <w:sz w:val="20"/>
          <w:szCs w:val="20"/>
          <w:lang w:val="pt-PT"/>
        </w:rPr>
        <w:t xml:space="preserve"> sua </w:t>
      </w:r>
      <w:r w:rsidR="00284FC4" w:rsidRPr="00D76569">
        <w:rPr>
          <w:rFonts w:ascii="Times New Roman" w:hAnsi="Times New Roman" w:cs="Times New Roman"/>
          <w:sz w:val="20"/>
          <w:szCs w:val="20"/>
          <w:lang w:val="pt-PT"/>
        </w:rPr>
        <w:t>promoção</w:t>
      </w:r>
      <w:r w:rsidR="006F2838" w:rsidRPr="00D76569">
        <w:rPr>
          <w:rFonts w:ascii="Times New Roman" w:hAnsi="Times New Roman" w:cs="Times New Roman"/>
          <w:sz w:val="20"/>
          <w:szCs w:val="20"/>
          <w:lang w:val="pt-PT"/>
        </w:rPr>
        <w:t xml:space="preserve">, contudo não são todas </w:t>
      </w:r>
      <w:r w:rsidR="00284FC4" w:rsidRPr="00D76569">
        <w:rPr>
          <w:rFonts w:ascii="Times New Roman" w:hAnsi="Times New Roman" w:cs="Times New Roman"/>
          <w:sz w:val="20"/>
          <w:szCs w:val="20"/>
          <w:lang w:val="pt-PT"/>
        </w:rPr>
        <w:t>práticas</w:t>
      </w:r>
      <w:r w:rsidR="006F2838" w:rsidRPr="00D76569">
        <w:rPr>
          <w:rFonts w:ascii="Times New Roman" w:hAnsi="Times New Roman" w:cs="Times New Roman"/>
          <w:sz w:val="20"/>
          <w:szCs w:val="20"/>
          <w:lang w:val="pt-PT"/>
        </w:rPr>
        <w:t xml:space="preserve">, existindo as </w:t>
      </w:r>
      <w:r w:rsidR="00D021DC" w:rsidRPr="00D76569">
        <w:rPr>
          <w:rFonts w:ascii="Times New Roman" w:hAnsi="Times New Roman" w:cs="Times New Roman"/>
          <w:sz w:val="20"/>
          <w:szCs w:val="20"/>
          <w:lang w:val="pt-PT"/>
        </w:rPr>
        <w:t>contrárias</w:t>
      </w:r>
      <w:r w:rsidR="006F2838" w:rsidRPr="00D76569">
        <w:rPr>
          <w:rFonts w:ascii="Times New Roman" w:hAnsi="Times New Roman" w:cs="Times New Roman"/>
          <w:sz w:val="20"/>
          <w:szCs w:val="20"/>
          <w:lang w:val="pt-PT"/>
        </w:rPr>
        <w:t xml:space="preserve"> </w:t>
      </w:r>
      <w:r w:rsidR="00F93B28">
        <w:rPr>
          <w:rFonts w:ascii="Times New Roman" w:hAnsi="Times New Roman" w:cs="Times New Roman"/>
          <w:sz w:val="20"/>
          <w:szCs w:val="20"/>
          <w:lang w:val="pt-PT"/>
        </w:rPr>
        <w:t xml:space="preserve">que junto às reações negativas dos pais </w:t>
      </w:r>
      <w:r w:rsidR="00AF1340">
        <w:rPr>
          <w:rFonts w:ascii="Times New Roman" w:hAnsi="Times New Roman" w:cs="Times New Roman"/>
          <w:sz w:val="20"/>
          <w:szCs w:val="20"/>
          <w:lang w:val="pt-PT"/>
        </w:rPr>
        <w:t xml:space="preserve">e da sociedade </w:t>
      </w:r>
      <w:r w:rsidR="00F93B28">
        <w:rPr>
          <w:rFonts w:ascii="Times New Roman" w:hAnsi="Times New Roman" w:cs="Times New Roman"/>
          <w:sz w:val="20"/>
          <w:szCs w:val="20"/>
          <w:lang w:val="pt-PT"/>
        </w:rPr>
        <w:t>conduzem a deficiência ou “ausência” de implementação</w:t>
      </w:r>
      <w:r w:rsidR="00284FC4" w:rsidRPr="00D76569">
        <w:rPr>
          <w:rFonts w:ascii="Times New Roman" w:hAnsi="Times New Roman" w:cs="Times New Roman"/>
          <w:sz w:val="20"/>
          <w:szCs w:val="20"/>
          <w:lang w:val="pt-PT"/>
        </w:rPr>
        <w:t>.</w:t>
      </w:r>
    </w:p>
    <w:p w14:paraId="230A0DDD" w14:textId="7E98035B" w:rsidR="00D76569" w:rsidRPr="006D0842" w:rsidRDefault="00F5394C" w:rsidP="006D0842">
      <w:pPr>
        <w:spacing w:line="240" w:lineRule="auto"/>
        <w:jc w:val="both"/>
        <w:rPr>
          <w:rFonts w:ascii="Times New Roman" w:hAnsi="Times New Roman" w:cs="Times New Roman"/>
          <w:sz w:val="20"/>
          <w:szCs w:val="20"/>
          <w:lang w:val="pt-PT"/>
        </w:rPr>
      </w:pPr>
      <w:r w:rsidRPr="00D76569">
        <w:rPr>
          <w:rFonts w:ascii="Times New Roman" w:hAnsi="Times New Roman" w:cs="Times New Roman"/>
          <w:b/>
          <w:bCs/>
          <w:sz w:val="20"/>
          <w:szCs w:val="20"/>
          <w:lang w:val="pt-PT"/>
        </w:rPr>
        <w:t>Palavras-chave:</w:t>
      </w:r>
      <w:r w:rsidRPr="00D76569">
        <w:rPr>
          <w:rFonts w:ascii="Times New Roman" w:hAnsi="Times New Roman" w:cs="Times New Roman"/>
          <w:sz w:val="20"/>
          <w:szCs w:val="20"/>
          <w:lang w:val="pt-PT"/>
        </w:rPr>
        <w:t xml:space="preserve"> </w:t>
      </w:r>
      <w:r w:rsidR="00D032F7">
        <w:rPr>
          <w:rFonts w:ascii="Times New Roman" w:hAnsi="Times New Roman" w:cs="Times New Roman"/>
          <w:sz w:val="20"/>
          <w:szCs w:val="20"/>
          <w:lang w:val="pt-PT"/>
        </w:rPr>
        <w:t xml:space="preserve">Praticas Educativas, </w:t>
      </w:r>
      <w:r w:rsidRPr="00D76569">
        <w:rPr>
          <w:rFonts w:ascii="Times New Roman" w:hAnsi="Times New Roman" w:cs="Times New Roman"/>
          <w:sz w:val="20"/>
          <w:szCs w:val="20"/>
          <w:lang w:val="pt-PT"/>
        </w:rPr>
        <w:t xml:space="preserve">Gestoras, Infância, </w:t>
      </w:r>
      <w:r w:rsidR="00D032F7">
        <w:rPr>
          <w:rFonts w:ascii="Times New Roman" w:hAnsi="Times New Roman" w:cs="Times New Roman"/>
          <w:sz w:val="20"/>
          <w:szCs w:val="20"/>
          <w:lang w:val="pt-PT"/>
        </w:rPr>
        <w:t>I</w:t>
      </w:r>
      <w:r w:rsidRPr="00D76569">
        <w:rPr>
          <w:rFonts w:ascii="Times New Roman" w:hAnsi="Times New Roman" w:cs="Times New Roman"/>
          <w:sz w:val="20"/>
          <w:szCs w:val="20"/>
          <w:lang w:val="pt-PT"/>
        </w:rPr>
        <w:t xml:space="preserve">gualdade de </w:t>
      </w:r>
      <w:r w:rsidR="00D032F7">
        <w:rPr>
          <w:rFonts w:ascii="Times New Roman" w:hAnsi="Times New Roman" w:cs="Times New Roman"/>
          <w:sz w:val="20"/>
          <w:szCs w:val="20"/>
          <w:lang w:val="pt-PT"/>
        </w:rPr>
        <w:t>G</w:t>
      </w:r>
      <w:r w:rsidRPr="00D76569">
        <w:rPr>
          <w:rFonts w:ascii="Times New Roman" w:hAnsi="Times New Roman" w:cs="Times New Roman"/>
          <w:sz w:val="20"/>
          <w:szCs w:val="20"/>
          <w:lang w:val="pt-PT"/>
        </w:rPr>
        <w:t>énero</w:t>
      </w:r>
    </w:p>
    <w:p w14:paraId="38F4391D" w14:textId="209CBEB0" w:rsidR="009271D5" w:rsidRPr="001E50D5" w:rsidRDefault="009271D5" w:rsidP="001E50D5">
      <w:pPr>
        <w:spacing w:line="240" w:lineRule="auto"/>
        <w:jc w:val="both"/>
        <w:rPr>
          <w:rFonts w:ascii="Times New Roman" w:hAnsi="Times New Roman" w:cs="Times New Roman"/>
          <w:b/>
          <w:bCs/>
          <w:sz w:val="20"/>
          <w:szCs w:val="20"/>
        </w:rPr>
      </w:pPr>
      <w:r w:rsidRPr="001E50D5">
        <w:rPr>
          <w:rFonts w:ascii="Times New Roman" w:hAnsi="Times New Roman" w:cs="Times New Roman"/>
          <w:b/>
          <w:bCs/>
          <w:sz w:val="20"/>
          <w:szCs w:val="20"/>
        </w:rPr>
        <w:t>Abstract</w:t>
      </w:r>
    </w:p>
    <w:p w14:paraId="15F20EC3" w14:textId="5B4A08E2" w:rsidR="00D032F7" w:rsidRPr="00AF1340" w:rsidRDefault="00AF1340" w:rsidP="007D5162">
      <w:pPr>
        <w:pStyle w:val="NormalWeb"/>
        <w:jc w:val="both"/>
        <w:rPr>
          <w:sz w:val="20"/>
          <w:szCs w:val="20"/>
        </w:rPr>
      </w:pPr>
      <w:r w:rsidRPr="00AF1340">
        <w:rPr>
          <w:sz w:val="20"/>
          <w:szCs w:val="20"/>
        </w:rPr>
        <w:t>This article presents an analysis of the educational practices of female managers aimed at promoting gender equality in childhood across four Early Childhood Centers in the City of Maputo. A qualitative approach was adopted, using a multiple case study design, with semi-structured interviews and observation as data collection techniques. Data was analyzed through content analysis and discussed based on the theories of Inequality Regimes and Epistemic Injustice. The results demonstrate that the managers are aware of gender equality, defining it as equal rights and/or opportunities regardless of gender, and they recognize the relevance of promoting it during childhood. The way it is implemented in the Early Childhood Centers is reflected in not separating children by sex during activities, allowing children the freedom to choose which toy they want to play with, and clarifying to the children that both girls and boys can perform the same roles. Simultaneously, the study reveals centers with entirely female management, only one male educator working across the four centers, and managers who view women as better suited for the profession, alongside negative reactions from parents and society toward male educators. Thus, it is concluded that there is a deficiency in educational practices; while notions of gender equality and the recognition of its relevance lead managers to make an effort to implement practices conducive to its promotion, this does not apply to all practices. The existence of contradictory practices, combined with negative reactions from parents and society, leads to a deficiency or "absence" of implementation.</w:t>
      </w:r>
    </w:p>
    <w:p w14:paraId="022D06BE" w14:textId="77777777" w:rsidR="00D032F7" w:rsidRPr="007D5162" w:rsidRDefault="00D032F7" w:rsidP="00D032F7">
      <w:pPr>
        <w:pStyle w:val="NormalWeb"/>
        <w:rPr>
          <w:sz w:val="20"/>
          <w:szCs w:val="20"/>
        </w:rPr>
      </w:pPr>
      <w:r w:rsidRPr="007D5162">
        <w:rPr>
          <w:b/>
          <w:bCs/>
          <w:sz w:val="20"/>
          <w:szCs w:val="20"/>
        </w:rPr>
        <w:t>Keywords:</w:t>
      </w:r>
      <w:r w:rsidRPr="007D5162">
        <w:rPr>
          <w:sz w:val="20"/>
          <w:szCs w:val="20"/>
        </w:rPr>
        <w:t xml:space="preserve"> Educational Practices, Female Managers, Childhood, Gender Equality.</w:t>
      </w:r>
    </w:p>
    <w:p w14:paraId="128CDEF6" w14:textId="5307CE12" w:rsidR="005F5DBD" w:rsidRPr="004A2A0F" w:rsidRDefault="00EB7FBF">
      <w:pPr>
        <w:rPr>
          <w:rFonts w:ascii="Times New Roman" w:hAnsi="Times New Roman" w:cs="Times New Roman"/>
          <w:b/>
          <w:bCs/>
          <w:sz w:val="24"/>
          <w:szCs w:val="24"/>
          <w:lang w:val="pt-PT"/>
        </w:rPr>
      </w:pPr>
      <w:r w:rsidRPr="004A2A0F">
        <w:rPr>
          <w:rFonts w:ascii="Times New Roman" w:hAnsi="Times New Roman" w:cs="Times New Roman"/>
          <w:b/>
          <w:bCs/>
          <w:sz w:val="24"/>
          <w:szCs w:val="24"/>
          <w:lang w:val="pt-PT"/>
        </w:rPr>
        <w:lastRenderedPageBreak/>
        <w:t>Introdução</w:t>
      </w:r>
    </w:p>
    <w:p w14:paraId="1BBFEDD2" w14:textId="1A7106AF"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O actual discurso e acções promotoras da igualdade e equidade de género constituem uma mudança de paradigma relativamente ao discurso de outrora sobre as fontes e manifestações das desigualdades de género. As desigualdades de género são consideradas como constituindo um grande problema para o desenvolvimento dos países, tanto os considerados desenvolvidos, e sobretudo, os em desenvolvimento (Teles &amp; Brás, 2010; Banco Mundial, 2012).</w:t>
      </w:r>
    </w:p>
    <w:p w14:paraId="2D135FE4"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5B52760F" w14:textId="0F42AE6D"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 xml:space="preserve">A luta em prol da igualdade de género data desde o séc. XIX e teve como marcos fundamentais a carta das Nações Unidas em 1945 e a Declaração Universal dos Direitos Humanos, promulgada em 1948 pelas Nações Unidas. Desde então, vários países a nível mundial, incluindo Moçambique mobilizam-se e actuam em torno desta causa, criando e ratificando instrumentos e organismos de base, como o </w:t>
      </w:r>
      <w:bookmarkStart w:id="2" w:name="_Hlk139464686"/>
      <w:r w:rsidRPr="00EB7FBF">
        <w:rPr>
          <w:rFonts w:ascii="Times New Roman" w:eastAsia="Calibri" w:hAnsi="Times New Roman" w:cs="Times New Roman"/>
          <w:color w:val="000000"/>
          <w:kern w:val="0"/>
          <w:sz w:val="24"/>
          <w:szCs w:val="24"/>
          <w:lang w:val="pt-PT"/>
          <w14:ligatures w14:val="none"/>
        </w:rPr>
        <w:t xml:space="preserve">Conselho Económico e Social </w:t>
      </w:r>
      <w:bookmarkEnd w:id="2"/>
      <w:r w:rsidRPr="00EB7FBF">
        <w:rPr>
          <w:rFonts w:ascii="Times New Roman" w:eastAsia="Calibri" w:hAnsi="Times New Roman" w:cs="Times New Roman"/>
          <w:color w:val="000000"/>
          <w:kern w:val="0"/>
          <w:sz w:val="24"/>
          <w:szCs w:val="24"/>
          <w:lang w:val="pt-PT"/>
          <w14:ligatures w14:val="none"/>
        </w:rPr>
        <w:t xml:space="preserve">(ECOSOC), os Objectivos do Desenvolvimento sustentável, convenções e protocolos diversos (Teles &amp; Brás, 2010). </w:t>
      </w:r>
    </w:p>
    <w:p w14:paraId="0587FB30"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4CBC1CD4" w14:textId="5BDBDF42"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 xml:space="preserve">Moçambique destaca-se ainda nesta luta pela ratificação de várias convenções internacionais e regionais como ex.: </w:t>
      </w:r>
      <w:bookmarkStart w:id="3" w:name="_Hlk139464668"/>
      <w:r w:rsidRPr="00EB7FBF">
        <w:rPr>
          <w:rFonts w:ascii="Times New Roman" w:eastAsia="Calibri" w:hAnsi="Times New Roman" w:cs="Times New Roman"/>
          <w:color w:val="000000"/>
          <w:kern w:val="0"/>
          <w:sz w:val="24"/>
          <w:szCs w:val="24"/>
          <w:lang w:val="pt-PT"/>
          <w14:ligatures w14:val="none"/>
        </w:rPr>
        <w:t>Convenção sobre a Eliminação de todas as formas de Discriminação contra a Mulher</w:t>
      </w:r>
      <w:bookmarkEnd w:id="3"/>
      <w:r w:rsidRPr="00EB7FBF">
        <w:rPr>
          <w:rFonts w:ascii="Times New Roman" w:eastAsia="Calibri" w:hAnsi="Times New Roman" w:cs="Times New Roman"/>
          <w:color w:val="000000"/>
          <w:kern w:val="0"/>
          <w:sz w:val="24"/>
          <w:szCs w:val="24"/>
          <w:lang w:val="pt-PT"/>
          <w14:ligatures w14:val="none"/>
        </w:rPr>
        <w:t xml:space="preserve"> (CEDAW); Carta Africana sobre os Direitos Humanos e das Pessoas e Direitos das Mulheres entre outras (MGCAS, 2016)</w:t>
      </w:r>
      <w:r w:rsidR="00FC5085">
        <w:rPr>
          <w:rFonts w:ascii="Times New Roman" w:eastAsia="Calibri" w:hAnsi="Times New Roman" w:cs="Times New Roman"/>
          <w:color w:val="000000"/>
          <w:kern w:val="0"/>
          <w:sz w:val="24"/>
          <w:szCs w:val="24"/>
          <w:lang w:val="pt-PT"/>
          <w14:ligatures w14:val="none"/>
        </w:rPr>
        <w:t>.</w:t>
      </w:r>
    </w:p>
    <w:p w14:paraId="67AADA4A"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20852A97" w14:textId="2BBE8888" w:rsid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Estudos como os de Prates (2014), Henriques e Marchão (2016), Oliveira e Mendes (2017) e Mate, Mohsin e Mitano (2020) reconhecem a importância de intervenções que promovam a igualdade e equidade de género, para mitigar e/ou eliminar as questões de desigualdades de género. As discussões nos referidos estudos salientam ainda que as estratégias visando a promoção da igualdade e equidade de género devem contemplar a infância, como sendo o período de edificação da personalidade do ser humano.</w:t>
      </w:r>
    </w:p>
    <w:p w14:paraId="42C5D11B" w14:textId="77777777" w:rsidR="007D5162" w:rsidRDefault="007D5162"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57193C2D" w14:textId="45303096" w:rsidR="007D5162" w:rsidRPr="00EB7FBF" w:rsidRDefault="007D5162"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Pr>
          <w:rFonts w:ascii="Times New Roman" w:eastAsia="Calibri" w:hAnsi="Times New Roman" w:cs="Times New Roman"/>
          <w:color w:val="000000"/>
          <w:kern w:val="0"/>
          <w:sz w:val="24"/>
          <w:szCs w:val="24"/>
          <w:lang w:val="pt-PT"/>
          <w14:ligatures w14:val="none"/>
        </w:rPr>
        <w:t xml:space="preserve">Este estudo </w:t>
      </w:r>
      <w:proofErr w:type="spellStart"/>
      <w:r w:rsidR="00944583" w:rsidRPr="00A23B72">
        <w:rPr>
          <w:rFonts w:ascii="Times New Roman" w:hAnsi="Times New Roman"/>
          <w:sz w:val="24"/>
          <w:szCs w:val="24"/>
        </w:rPr>
        <w:t>adopt</w:t>
      </w:r>
      <w:r w:rsidR="00944583">
        <w:rPr>
          <w:rFonts w:ascii="Times New Roman" w:hAnsi="Times New Roman"/>
          <w:sz w:val="24"/>
          <w:szCs w:val="24"/>
        </w:rPr>
        <w:t>ou</w:t>
      </w:r>
      <w:proofErr w:type="spellEnd"/>
      <w:r w:rsidR="00944583" w:rsidRPr="00A23B72">
        <w:rPr>
          <w:rFonts w:ascii="Times New Roman" w:hAnsi="Times New Roman"/>
          <w:sz w:val="24"/>
          <w:szCs w:val="24"/>
        </w:rPr>
        <w:t xml:space="preserve"> </w:t>
      </w:r>
      <w:proofErr w:type="spellStart"/>
      <w:r w:rsidR="00944583" w:rsidRPr="00A23B72">
        <w:rPr>
          <w:rFonts w:ascii="Times New Roman" w:hAnsi="Times New Roman"/>
          <w:sz w:val="24"/>
          <w:szCs w:val="24"/>
        </w:rPr>
        <w:t>como</w:t>
      </w:r>
      <w:proofErr w:type="spellEnd"/>
      <w:r w:rsidR="00944583" w:rsidRPr="00A23B72">
        <w:rPr>
          <w:rFonts w:ascii="Times New Roman" w:hAnsi="Times New Roman"/>
          <w:sz w:val="24"/>
          <w:szCs w:val="24"/>
        </w:rPr>
        <w:t xml:space="preserve"> </w:t>
      </w:r>
      <w:proofErr w:type="spellStart"/>
      <w:r w:rsidR="00944583" w:rsidRPr="00A23B72">
        <w:rPr>
          <w:rFonts w:ascii="Times New Roman" w:hAnsi="Times New Roman"/>
          <w:sz w:val="24"/>
          <w:szCs w:val="24"/>
        </w:rPr>
        <w:t>Infância</w:t>
      </w:r>
      <w:proofErr w:type="spellEnd"/>
      <w:r w:rsidR="00944583" w:rsidRPr="00A23B72">
        <w:rPr>
          <w:rFonts w:ascii="Times New Roman" w:hAnsi="Times New Roman"/>
          <w:sz w:val="24"/>
          <w:szCs w:val="24"/>
        </w:rPr>
        <w:t xml:space="preserve"> o período que vai do nascimento aos cinco </w:t>
      </w:r>
      <w:r w:rsidR="00944583">
        <w:rPr>
          <w:rFonts w:ascii="Times New Roman" w:hAnsi="Times New Roman"/>
          <w:sz w:val="24"/>
          <w:szCs w:val="24"/>
        </w:rPr>
        <w:t>ou</w:t>
      </w:r>
      <w:r w:rsidR="00944583" w:rsidRPr="00A23B72">
        <w:rPr>
          <w:rFonts w:ascii="Times New Roman" w:hAnsi="Times New Roman"/>
          <w:sz w:val="24"/>
          <w:szCs w:val="24"/>
        </w:rPr>
        <w:t xml:space="preserve"> seis anos, correspondente à “Primeira Infância”, na descrição de Mwamwenda (2005), e de Vieira, Raimundo e Da Silva (2019), por sinal o período das categorias etárias das crianças que frequentam os Centros Infantis onde decorreu </w:t>
      </w:r>
      <w:r w:rsidR="00944583">
        <w:rPr>
          <w:rFonts w:ascii="Times New Roman" w:hAnsi="Times New Roman"/>
          <w:sz w:val="24"/>
          <w:szCs w:val="24"/>
        </w:rPr>
        <w:t>a pesquisa</w:t>
      </w:r>
      <w:r w:rsidR="00944583" w:rsidRPr="00A23B72">
        <w:rPr>
          <w:rFonts w:ascii="Times New Roman" w:hAnsi="Times New Roman"/>
          <w:sz w:val="24"/>
          <w:szCs w:val="24"/>
        </w:rPr>
        <w:t>.</w:t>
      </w:r>
    </w:p>
    <w:p w14:paraId="2FBFB74D"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68E7D3A5" w14:textId="74739F9D"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 xml:space="preserve">Este período de desenvolvimento da criança passou nos tempos actuais, pelo advento da inserção da mulher no mercado de trabalho, à responsabilidade de instituições de educação de </w:t>
      </w:r>
      <w:r w:rsidRPr="00EB7FBF">
        <w:rPr>
          <w:rFonts w:ascii="Times New Roman" w:eastAsia="Calibri" w:hAnsi="Times New Roman" w:cs="Times New Roman"/>
          <w:color w:val="000000"/>
          <w:kern w:val="0"/>
          <w:sz w:val="24"/>
          <w:szCs w:val="24"/>
          <w:lang w:val="pt-PT"/>
          <w14:ligatures w14:val="none"/>
        </w:rPr>
        <w:lastRenderedPageBreak/>
        <w:t>infância em que se encontram os Centros Infantis, Jardins de Infância e as Creches (Dias, Pereira &amp; Correia, 2013;</w:t>
      </w:r>
      <w:r w:rsidR="008377FC">
        <w:rPr>
          <w:rFonts w:ascii="Times New Roman" w:eastAsia="Calibri" w:hAnsi="Times New Roman" w:cs="Times New Roman"/>
          <w:color w:val="000000"/>
          <w:kern w:val="0"/>
          <w:sz w:val="24"/>
          <w:szCs w:val="24"/>
          <w:lang w:val="pt-PT"/>
          <w14:ligatures w14:val="none"/>
        </w:rPr>
        <w:t xml:space="preserve"> </w:t>
      </w:r>
      <w:r w:rsidRPr="00EB7FBF">
        <w:rPr>
          <w:rFonts w:ascii="Times New Roman" w:eastAsia="Calibri" w:hAnsi="Times New Roman" w:cs="Times New Roman"/>
          <w:color w:val="000000"/>
          <w:kern w:val="0"/>
          <w:sz w:val="24"/>
          <w:szCs w:val="24"/>
          <w:lang w:val="pt-PT"/>
          <w14:ligatures w14:val="none"/>
        </w:rPr>
        <w:t xml:space="preserve">Essa, 2007). Vieira, Raimundo e Da Silva (2019) referem que é nestes locais que a criança passa maior parte do tempo durante o dia. Henriques e Marchão (2016) indicam que estas instituições são consideradas como sendo as que têm o papel de desconstruir estereótipos que conduzem às desigualdades de género em prol de gerações futuras igualitárias entre mulheres e homens. </w:t>
      </w:r>
    </w:p>
    <w:p w14:paraId="20AF5682"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01966C7B"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EB7FBF">
        <w:rPr>
          <w:rFonts w:ascii="Times New Roman" w:eastAsia="Calibri" w:hAnsi="Times New Roman" w:cs="Times New Roman"/>
          <w:color w:val="000000"/>
          <w:kern w:val="0"/>
          <w:sz w:val="24"/>
          <w:szCs w:val="24"/>
          <w:lang w:val="pt-PT"/>
          <w14:ligatures w14:val="none"/>
        </w:rPr>
        <w:t xml:space="preserve">De acordo com Marchão e Henriques (2016), em estudos realizados na realidade portuguesa, verifica-se que é nestas mesmas instituições que se reforçam as diferenças de género, quer através do currículo, quer pelo processo de transmissão de mensagens informais pelos agentes envolvidos impregnadas de estereótipos e preconceitos de género como revelam: </w:t>
      </w:r>
    </w:p>
    <w:p w14:paraId="02CC6774" w14:textId="77777777" w:rsidR="00EB7FBF" w:rsidRPr="00EB7FBF" w:rsidRDefault="00EB7FBF" w:rsidP="00EB7FBF">
      <w:pPr>
        <w:spacing w:after="200" w:line="240" w:lineRule="auto"/>
        <w:ind w:left="2880"/>
        <w:contextualSpacing/>
        <w:jc w:val="both"/>
        <w:rPr>
          <w:rFonts w:ascii="Times New Roman" w:eastAsia="Calibri" w:hAnsi="Times New Roman" w:cs="Times New Roman"/>
          <w:color w:val="000000"/>
          <w:kern w:val="0"/>
          <w:sz w:val="20"/>
          <w:szCs w:val="20"/>
          <w:lang w:val="pt-PT"/>
          <w14:ligatures w14:val="none"/>
        </w:rPr>
      </w:pPr>
      <w:r w:rsidRPr="00EB7FBF">
        <w:rPr>
          <w:rFonts w:ascii="Times New Roman" w:eastAsia="Calibri" w:hAnsi="Times New Roman" w:cs="Times New Roman"/>
          <w:color w:val="000000"/>
          <w:kern w:val="0"/>
          <w:sz w:val="20"/>
          <w:szCs w:val="20"/>
          <w:lang w:val="pt-PT"/>
          <w14:ligatures w14:val="none"/>
        </w:rPr>
        <w:t xml:space="preserve">“(...) aparentemente, a escola parece respeitar a igualdade de género; porém, quando esmiuçada, percebem-se as representações esteriotipadas dos sujeitos da comunidade escolar e a reprodução da discriminação sexual por via curricular, organizacional e até pelas estruturas físicas da escola” (Marchão e Henriques p.343). </w:t>
      </w:r>
    </w:p>
    <w:p w14:paraId="76A98C87" w14:textId="77777777" w:rsidR="00EB7FBF" w:rsidRPr="00EB7FBF" w:rsidRDefault="00EB7FBF" w:rsidP="00EB7FBF">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40840FE5" w14:textId="1DF77B9E" w:rsidR="00EB7FBF" w:rsidRPr="00210932" w:rsidRDefault="00EB7FBF" w:rsidP="00352099">
      <w:pPr>
        <w:spacing w:line="360" w:lineRule="auto"/>
        <w:jc w:val="both"/>
        <w:rPr>
          <w:rFonts w:ascii="Times New Roman" w:hAnsi="Times New Roman" w:cs="Times New Roman"/>
          <w:sz w:val="24"/>
          <w:szCs w:val="24"/>
        </w:rPr>
      </w:pPr>
      <w:r w:rsidRPr="004A2A0F">
        <w:rPr>
          <w:rFonts w:ascii="Times New Roman" w:eastAsia="Calibri" w:hAnsi="Times New Roman" w:cs="Times New Roman"/>
          <w:color w:val="000000"/>
          <w:kern w:val="0"/>
          <w:sz w:val="24"/>
          <w:szCs w:val="24"/>
          <w:lang w:val="pt-PT"/>
          <w14:ligatures w14:val="none"/>
        </w:rPr>
        <w:t xml:space="preserve">Esta ideia é reforçada pelas autoras Oliveira e Mendes (2017) e (Mweru, 2012) quando referem à persistência no seio pré-escolar e escolar de práticas educativas promotoras de assimetrias de género. </w:t>
      </w:r>
      <w:r w:rsidR="00210932" w:rsidRPr="00A23B72">
        <w:rPr>
          <w:rFonts w:ascii="Times New Roman" w:hAnsi="Times New Roman"/>
          <w:sz w:val="24"/>
          <w:szCs w:val="24"/>
        </w:rPr>
        <w:t>Barbosa &amp; Prado, 2009</w:t>
      </w:r>
      <w:r w:rsidR="00210932">
        <w:rPr>
          <w:rFonts w:ascii="Times New Roman" w:hAnsi="Times New Roman"/>
          <w:sz w:val="24"/>
          <w:szCs w:val="24"/>
        </w:rPr>
        <w:t xml:space="preserve"> </w:t>
      </w:r>
      <w:r w:rsidR="00210932" w:rsidRPr="00210932">
        <w:rPr>
          <w:rFonts w:ascii="Times New Roman" w:hAnsi="Times New Roman"/>
          <w:sz w:val="24"/>
          <w:szCs w:val="24"/>
          <w:lang w:val="pt-PT"/>
        </w:rPr>
        <w:t>entendem as práticas</w:t>
      </w:r>
      <w:r w:rsidR="00210932" w:rsidRPr="00A23B72">
        <w:rPr>
          <w:rFonts w:ascii="Times New Roman" w:hAnsi="Times New Roman"/>
          <w:sz w:val="24"/>
          <w:szCs w:val="24"/>
        </w:rPr>
        <w:t xml:space="preserve"> </w:t>
      </w:r>
      <w:proofErr w:type="spellStart"/>
      <w:r w:rsidR="00210932" w:rsidRPr="00A23B72">
        <w:rPr>
          <w:rFonts w:ascii="Times New Roman" w:hAnsi="Times New Roman"/>
          <w:sz w:val="24"/>
          <w:szCs w:val="24"/>
        </w:rPr>
        <w:t>educativas</w:t>
      </w:r>
      <w:proofErr w:type="spellEnd"/>
      <w:r w:rsidR="00210932" w:rsidRPr="00A23B72">
        <w:rPr>
          <w:rFonts w:ascii="Times New Roman" w:hAnsi="Times New Roman"/>
          <w:sz w:val="24"/>
          <w:szCs w:val="24"/>
        </w:rPr>
        <w:t xml:space="preserve"> </w:t>
      </w:r>
      <w:proofErr w:type="spellStart"/>
      <w:r w:rsidR="00210932">
        <w:rPr>
          <w:rFonts w:ascii="Times New Roman" w:hAnsi="Times New Roman"/>
          <w:sz w:val="24"/>
          <w:szCs w:val="24"/>
        </w:rPr>
        <w:t>como</w:t>
      </w:r>
      <w:proofErr w:type="spellEnd"/>
      <w:r w:rsidR="00210932" w:rsidRPr="00A23B72">
        <w:rPr>
          <w:rFonts w:ascii="Times New Roman" w:hAnsi="Times New Roman"/>
          <w:sz w:val="24"/>
          <w:szCs w:val="24"/>
        </w:rPr>
        <w:t xml:space="preserve"> </w:t>
      </w:r>
      <w:proofErr w:type="spellStart"/>
      <w:r w:rsidR="00210932" w:rsidRPr="00A23B72">
        <w:rPr>
          <w:rFonts w:ascii="Times New Roman" w:hAnsi="Times New Roman"/>
          <w:sz w:val="24"/>
          <w:szCs w:val="24"/>
        </w:rPr>
        <w:t>os</w:t>
      </w:r>
      <w:proofErr w:type="spellEnd"/>
      <w:r w:rsidR="00210932" w:rsidRPr="00A23B72">
        <w:rPr>
          <w:rFonts w:ascii="Times New Roman" w:hAnsi="Times New Roman"/>
          <w:sz w:val="24"/>
          <w:szCs w:val="24"/>
        </w:rPr>
        <w:t xml:space="preserve"> </w:t>
      </w:r>
      <w:proofErr w:type="spellStart"/>
      <w:r w:rsidR="00210932" w:rsidRPr="00A23B72">
        <w:rPr>
          <w:rFonts w:ascii="Times New Roman" w:hAnsi="Times New Roman"/>
          <w:sz w:val="24"/>
          <w:szCs w:val="24"/>
        </w:rPr>
        <w:t>conteúdos</w:t>
      </w:r>
      <w:proofErr w:type="spellEnd"/>
      <w:r w:rsidR="00210932" w:rsidRPr="00A23B72">
        <w:rPr>
          <w:rFonts w:ascii="Times New Roman" w:hAnsi="Times New Roman"/>
          <w:sz w:val="24"/>
          <w:szCs w:val="24"/>
        </w:rPr>
        <w:t xml:space="preserve"> </w:t>
      </w:r>
      <w:proofErr w:type="spellStart"/>
      <w:r w:rsidR="00210932" w:rsidRPr="00A23B72">
        <w:rPr>
          <w:rFonts w:ascii="Times New Roman" w:hAnsi="Times New Roman"/>
          <w:sz w:val="24"/>
          <w:szCs w:val="24"/>
        </w:rPr>
        <w:t>seleccionados</w:t>
      </w:r>
      <w:proofErr w:type="spellEnd"/>
      <w:r w:rsidR="00210932" w:rsidRPr="00A23B72">
        <w:rPr>
          <w:rFonts w:ascii="Times New Roman" w:hAnsi="Times New Roman"/>
          <w:sz w:val="24"/>
          <w:szCs w:val="24"/>
        </w:rPr>
        <w:t xml:space="preserve"> e a metodologia usada por educadoras e educadores; o ambiente em que a educação decorre, conduzindo à verificação dos tipos de formação reproduzidos com as crianças, nos quais se pode inferir o ser e estar do adulto do amanhã</w:t>
      </w:r>
      <w:r w:rsidR="00210932">
        <w:rPr>
          <w:rFonts w:ascii="Times New Roman" w:hAnsi="Times New Roman"/>
          <w:sz w:val="24"/>
          <w:szCs w:val="24"/>
        </w:rPr>
        <w:t>.</w:t>
      </w:r>
      <w:r w:rsidR="00210932" w:rsidRPr="00A23B72">
        <w:rPr>
          <w:rFonts w:ascii="Times New Roman" w:hAnsi="Times New Roman"/>
          <w:sz w:val="24"/>
          <w:szCs w:val="24"/>
        </w:rPr>
        <w:t xml:space="preserve"> </w:t>
      </w:r>
      <w:r w:rsidR="00210932">
        <w:rPr>
          <w:rFonts w:ascii="Times New Roman" w:hAnsi="Times New Roman"/>
          <w:sz w:val="24"/>
          <w:szCs w:val="24"/>
        </w:rPr>
        <w:t>R</w:t>
      </w:r>
      <w:r w:rsidR="00210932" w:rsidRPr="00A23B72">
        <w:rPr>
          <w:rFonts w:ascii="Times New Roman" w:hAnsi="Times New Roman"/>
          <w:sz w:val="24"/>
          <w:szCs w:val="24"/>
        </w:rPr>
        <w:t>efere</w:t>
      </w:r>
      <w:r w:rsidR="00210932">
        <w:rPr>
          <w:rFonts w:ascii="Times New Roman" w:hAnsi="Times New Roman"/>
          <w:sz w:val="24"/>
          <w:szCs w:val="24"/>
        </w:rPr>
        <w:t>m</w:t>
      </w:r>
      <w:r w:rsidR="00210932" w:rsidRPr="00A23B72">
        <w:rPr>
          <w:rFonts w:ascii="Times New Roman" w:hAnsi="Times New Roman"/>
          <w:sz w:val="24"/>
          <w:szCs w:val="24"/>
        </w:rPr>
        <w:t xml:space="preserve"> ainda que nas práticas educativas são inclusos, o contexto e os envolvidos no processo educativo (educadores/as, crianças, direcção e vários outros agentes que fazem parte do elenco)</w:t>
      </w:r>
      <w:r w:rsidR="00210932">
        <w:rPr>
          <w:rFonts w:ascii="Times New Roman" w:hAnsi="Times New Roman"/>
          <w:sz w:val="24"/>
          <w:szCs w:val="24"/>
        </w:rPr>
        <w:t>.</w:t>
      </w:r>
    </w:p>
    <w:p w14:paraId="3EEBF137" w14:textId="65A1AEF3" w:rsidR="005F5DBD" w:rsidRPr="004A2A0F" w:rsidRDefault="00A71209" w:rsidP="00A71209">
      <w:pPr>
        <w:spacing w:line="360" w:lineRule="auto"/>
        <w:jc w:val="both"/>
        <w:rPr>
          <w:rFonts w:ascii="Times New Roman" w:hAnsi="Times New Roman"/>
          <w:color w:val="000000"/>
          <w:sz w:val="24"/>
          <w:szCs w:val="24"/>
          <w:lang w:val="pt-PT"/>
        </w:rPr>
      </w:pPr>
      <w:r w:rsidRPr="004A2A0F">
        <w:rPr>
          <w:rFonts w:ascii="Times New Roman" w:hAnsi="Times New Roman"/>
          <w:color w:val="000000"/>
          <w:sz w:val="24"/>
          <w:szCs w:val="24"/>
          <w:lang w:val="pt-PT"/>
        </w:rPr>
        <w:t>Mweru, 2012</w:t>
      </w:r>
      <w:r w:rsidR="00A42747">
        <w:rPr>
          <w:rFonts w:ascii="Times New Roman" w:hAnsi="Times New Roman"/>
          <w:color w:val="000000"/>
          <w:sz w:val="24"/>
          <w:szCs w:val="24"/>
          <w:lang w:val="pt-PT"/>
        </w:rPr>
        <w:t xml:space="preserve"> e</w:t>
      </w:r>
      <w:r w:rsidRPr="004A2A0F">
        <w:rPr>
          <w:rFonts w:ascii="Times New Roman" w:hAnsi="Times New Roman"/>
          <w:color w:val="000000"/>
          <w:sz w:val="24"/>
          <w:szCs w:val="24"/>
          <w:lang w:val="pt-PT"/>
        </w:rPr>
        <w:t xml:space="preserve"> vvob &amp; FAWE, 2019)</w:t>
      </w:r>
      <w:r w:rsidR="00A42747">
        <w:rPr>
          <w:rFonts w:ascii="Times New Roman" w:hAnsi="Times New Roman"/>
          <w:color w:val="000000"/>
          <w:sz w:val="24"/>
          <w:szCs w:val="24"/>
          <w:lang w:val="pt-PT"/>
        </w:rPr>
        <w:t xml:space="preserve"> </w:t>
      </w:r>
      <w:r w:rsidR="00BC171E">
        <w:rPr>
          <w:rFonts w:ascii="Times New Roman" w:hAnsi="Times New Roman"/>
          <w:color w:val="000000"/>
          <w:sz w:val="24"/>
          <w:szCs w:val="24"/>
          <w:lang w:val="pt-PT"/>
        </w:rPr>
        <w:t xml:space="preserve">ainda </w:t>
      </w:r>
      <w:r w:rsidRPr="004A2A0F">
        <w:rPr>
          <w:rFonts w:ascii="Times New Roman" w:hAnsi="Times New Roman"/>
          <w:color w:val="000000"/>
          <w:sz w:val="24"/>
          <w:szCs w:val="24"/>
          <w:lang w:val="pt-PT"/>
        </w:rPr>
        <w:t xml:space="preserve">chamam atenção para </w:t>
      </w:r>
      <w:r w:rsidR="004A2A0F" w:rsidRPr="004A2A0F">
        <w:rPr>
          <w:rFonts w:ascii="Times New Roman" w:hAnsi="Times New Roman"/>
          <w:color w:val="000000"/>
          <w:sz w:val="24"/>
          <w:szCs w:val="24"/>
          <w:lang w:val="pt-PT"/>
        </w:rPr>
        <w:t xml:space="preserve">que </w:t>
      </w:r>
      <w:r w:rsidRPr="004A2A0F">
        <w:rPr>
          <w:rFonts w:ascii="Times New Roman" w:hAnsi="Times New Roman"/>
          <w:color w:val="000000"/>
          <w:sz w:val="24"/>
          <w:szCs w:val="24"/>
          <w:lang w:val="pt-PT"/>
        </w:rPr>
        <w:t xml:space="preserve">gestores/as do processo educativo </w:t>
      </w:r>
      <w:r w:rsidR="00F87B66">
        <w:rPr>
          <w:rFonts w:ascii="Times New Roman" w:hAnsi="Times New Roman"/>
          <w:color w:val="000000"/>
          <w:sz w:val="24"/>
          <w:szCs w:val="24"/>
          <w:lang w:val="pt-PT"/>
        </w:rPr>
        <w:t xml:space="preserve">na infância </w:t>
      </w:r>
      <w:r w:rsidRPr="004A2A0F">
        <w:rPr>
          <w:rFonts w:ascii="Times New Roman" w:hAnsi="Times New Roman"/>
          <w:color w:val="000000"/>
          <w:sz w:val="24"/>
          <w:szCs w:val="24"/>
          <w:lang w:val="pt-PT"/>
        </w:rPr>
        <w:t>reflitam sobre as suas crenças culturais e em relação aos papéis de género possam proporcionar ambientes baseadas na</w:t>
      </w:r>
      <w:r w:rsidR="004A2A0F" w:rsidRPr="004A2A0F">
        <w:rPr>
          <w:rFonts w:ascii="Times New Roman" w:hAnsi="Times New Roman"/>
          <w:color w:val="000000"/>
          <w:sz w:val="24"/>
          <w:szCs w:val="24"/>
          <w:lang w:val="pt-PT"/>
        </w:rPr>
        <w:t xml:space="preserve"> promoção</w:t>
      </w:r>
      <w:r w:rsidRPr="004A2A0F">
        <w:rPr>
          <w:rFonts w:ascii="Times New Roman" w:hAnsi="Times New Roman"/>
          <w:color w:val="000000"/>
          <w:sz w:val="24"/>
          <w:szCs w:val="24"/>
          <w:lang w:val="pt-PT"/>
        </w:rPr>
        <w:t xml:space="preserve"> igualdade e equidade de género, educando em ambientes colaborativos e não competitivos.</w:t>
      </w:r>
    </w:p>
    <w:p w14:paraId="08194A0A" w14:textId="236BAA10" w:rsidR="00A71209" w:rsidRPr="004A2A0F" w:rsidRDefault="00A71209" w:rsidP="00A71209">
      <w:pPr>
        <w:spacing w:line="360" w:lineRule="auto"/>
        <w:jc w:val="both"/>
        <w:rPr>
          <w:rFonts w:ascii="Times New Roman" w:hAnsi="Times New Roman"/>
          <w:color w:val="000000"/>
          <w:sz w:val="24"/>
          <w:szCs w:val="24"/>
          <w:lang w:val="pt-PT"/>
        </w:rPr>
      </w:pPr>
      <w:r w:rsidRPr="004A2A0F">
        <w:rPr>
          <w:rFonts w:ascii="Times New Roman" w:hAnsi="Times New Roman"/>
          <w:color w:val="000000"/>
          <w:sz w:val="24"/>
          <w:szCs w:val="24"/>
          <w:lang w:val="pt-PT"/>
        </w:rPr>
        <w:t xml:space="preserve">A importância do papel dos serviços educativos na infância ou profissionais que lidam com a infância é também fundamentada por Ho-Poon (2014), que realizou o seu estudo na cidade da Beira – Moçambique sob o tema: </w:t>
      </w:r>
      <w:r w:rsidRPr="001F2C8F">
        <w:rPr>
          <w:rFonts w:ascii="Times New Roman" w:hAnsi="Times New Roman"/>
          <w:i/>
          <w:iCs/>
          <w:color w:val="000000"/>
          <w:sz w:val="24"/>
          <w:szCs w:val="24"/>
          <w:lang w:val="pt-PT"/>
        </w:rPr>
        <w:t>Estudo de análise das práticas educativas dos educadores no acompanhamento à criança com distúrbio de comportamento no IPS</w:t>
      </w:r>
      <w:r w:rsidRPr="004A2A0F">
        <w:rPr>
          <w:rFonts w:ascii="Times New Roman" w:hAnsi="Times New Roman"/>
          <w:color w:val="000000"/>
          <w:sz w:val="24"/>
          <w:szCs w:val="24"/>
          <w:lang w:val="pt-PT"/>
        </w:rPr>
        <w:t xml:space="preserve">, ao reconhecer o facto deste estimular o desenvolvimento integral da criança, de modo a propiciar a criação de uma base que seja a ancora das aprendizagens em fases posteriores ou seguintes do seu </w:t>
      </w:r>
      <w:r w:rsidRPr="004A2A0F">
        <w:rPr>
          <w:rFonts w:ascii="Times New Roman" w:hAnsi="Times New Roman"/>
          <w:color w:val="000000"/>
          <w:sz w:val="24"/>
          <w:szCs w:val="24"/>
          <w:lang w:val="pt-PT"/>
        </w:rPr>
        <w:lastRenderedPageBreak/>
        <w:t>crescimento. Assim como Gonçalves (2009, p. 166) reconhece a “educação escolar” como aquela</w:t>
      </w:r>
      <w:r w:rsidR="00F87B66">
        <w:rPr>
          <w:rFonts w:ascii="Times New Roman" w:hAnsi="Times New Roman"/>
          <w:color w:val="000000"/>
          <w:sz w:val="24"/>
          <w:szCs w:val="24"/>
          <w:lang w:val="pt-PT"/>
        </w:rPr>
        <w:t xml:space="preserve"> que</w:t>
      </w:r>
      <w:r w:rsidRPr="004A2A0F">
        <w:rPr>
          <w:rFonts w:ascii="Times New Roman" w:hAnsi="Times New Roman"/>
          <w:color w:val="000000"/>
          <w:sz w:val="24"/>
          <w:szCs w:val="24"/>
          <w:lang w:val="pt-PT"/>
        </w:rPr>
        <w:t xml:space="preserve"> tem um papel de formar e socializar o individuo.</w:t>
      </w:r>
    </w:p>
    <w:p w14:paraId="33146A3A" w14:textId="196C3737" w:rsidR="00A71209" w:rsidRDefault="00A71209" w:rsidP="00A71209">
      <w:pPr>
        <w:spacing w:line="360" w:lineRule="auto"/>
        <w:jc w:val="both"/>
        <w:rPr>
          <w:rFonts w:ascii="Times New Roman" w:hAnsi="Times New Roman"/>
          <w:color w:val="000000"/>
          <w:sz w:val="24"/>
          <w:szCs w:val="24"/>
          <w:lang w:val="pt-PT"/>
        </w:rPr>
      </w:pPr>
      <w:r w:rsidRPr="004A2A0F">
        <w:rPr>
          <w:rFonts w:ascii="Times New Roman" w:hAnsi="Times New Roman"/>
          <w:color w:val="000000"/>
          <w:sz w:val="24"/>
          <w:szCs w:val="24"/>
          <w:lang w:val="pt-PT"/>
        </w:rPr>
        <w:t>Este estudo incid</w:t>
      </w:r>
      <w:r w:rsidR="004A2A0F">
        <w:rPr>
          <w:rFonts w:ascii="Times New Roman" w:hAnsi="Times New Roman"/>
          <w:color w:val="000000"/>
          <w:sz w:val="24"/>
          <w:szCs w:val="24"/>
          <w:lang w:val="pt-PT"/>
        </w:rPr>
        <w:t>iu</w:t>
      </w:r>
      <w:r w:rsidRPr="004A2A0F">
        <w:rPr>
          <w:rFonts w:ascii="Times New Roman" w:hAnsi="Times New Roman"/>
          <w:color w:val="000000"/>
          <w:sz w:val="24"/>
          <w:szCs w:val="24"/>
          <w:lang w:val="pt-PT"/>
        </w:rPr>
        <w:t>, assim como outros estudos feitos (Rossini, Saidel, Calió &amp; Jesus 1997; Marchão &amp; Bento, 2012; Prates, 2014; Ho-Poon, 2014; Cardona, Vieira, Uva &amp; Tavares, 2015; Marchão &amp; Herinques, 2016; Oliveira e Mendes, 2017) na educação infantil, interessando-se pelas instituições de educação de infância (Centros Infantis)</w:t>
      </w:r>
      <w:r w:rsidR="00944583">
        <w:rPr>
          <w:rFonts w:ascii="Times New Roman" w:hAnsi="Times New Roman"/>
          <w:color w:val="000000"/>
          <w:sz w:val="24"/>
          <w:szCs w:val="24"/>
          <w:lang w:val="pt-PT"/>
        </w:rPr>
        <w:t xml:space="preserve"> na Cidade de Maputo</w:t>
      </w:r>
      <w:r w:rsidRPr="004A2A0F">
        <w:rPr>
          <w:rFonts w:ascii="Times New Roman" w:hAnsi="Times New Roman"/>
          <w:color w:val="000000"/>
          <w:sz w:val="24"/>
          <w:szCs w:val="24"/>
          <w:lang w:val="pt-PT"/>
        </w:rPr>
        <w:t>, no sentido de analisar se estas concorrem ou não para a promoção da igualdade de género</w:t>
      </w:r>
      <w:r w:rsidR="006A3849">
        <w:rPr>
          <w:rFonts w:ascii="Times New Roman" w:hAnsi="Times New Roman"/>
          <w:color w:val="000000"/>
          <w:sz w:val="24"/>
          <w:szCs w:val="24"/>
          <w:lang w:val="pt-PT"/>
        </w:rPr>
        <w:t xml:space="preserve"> através da gestão</w:t>
      </w:r>
      <w:r w:rsidRPr="004A2A0F">
        <w:rPr>
          <w:rFonts w:ascii="Times New Roman" w:hAnsi="Times New Roman"/>
          <w:color w:val="000000"/>
          <w:sz w:val="24"/>
          <w:szCs w:val="24"/>
          <w:lang w:val="pt-PT"/>
        </w:rPr>
        <w:t xml:space="preserve">, respondendo às acções globais que têm em vista esta meta. </w:t>
      </w:r>
    </w:p>
    <w:p w14:paraId="6936F5E6" w14:textId="77777777" w:rsidR="00494C44" w:rsidRDefault="00494C44" w:rsidP="00A71209">
      <w:pPr>
        <w:spacing w:line="360" w:lineRule="auto"/>
        <w:jc w:val="both"/>
        <w:rPr>
          <w:rFonts w:ascii="Times New Roman" w:hAnsi="Times New Roman"/>
          <w:color w:val="000000"/>
          <w:sz w:val="24"/>
          <w:szCs w:val="24"/>
          <w:lang w:val="pt-PT"/>
        </w:rPr>
      </w:pPr>
    </w:p>
    <w:p w14:paraId="1053DAF5" w14:textId="77777777" w:rsidR="00494C44" w:rsidRPr="00A23B72" w:rsidRDefault="00494C44" w:rsidP="00494C44">
      <w:pPr>
        <w:spacing w:line="360" w:lineRule="auto"/>
        <w:jc w:val="both"/>
        <w:outlineLvl w:val="1"/>
        <w:rPr>
          <w:rFonts w:ascii="Times New Roman" w:hAnsi="Times New Roman"/>
          <w:b/>
          <w:bCs/>
          <w:sz w:val="24"/>
          <w:szCs w:val="24"/>
        </w:rPr>
      </w:pPr>
      <w:r w:rsidRPr="00A23B72">
        <w:rPr>
          <w:rFonts w:ascii="Times New Roman" w:hAnsi="Times New Roman"/>
          <w:b/>
          <w:bCs/>
          <w:sz w:val="24"/>
          <w:szCs w:val="24"/>
        </w:rPr>
        <w:t>Teorias feministas e a (re) produção das desigualdades</w:t>
      </w:r>
    </w:p>
    <w:p w14:paraId="36BE99AA" w14:textId="0C2A437F" w:rsidR="00494C44" w:rsidRPr="006D0842" w:rsidRDefault="00494C44" w:rsidP="006D0842">
      <w:pPr>
        <w:spacing w:line="360" w:lineRule="auto"/>
        <w:jc w:val="both"/>
        <w:rPr>
          <w:rFonts w:ascii="Times New Roman" w:hAnsi="Times New Roman"/>
          <w:sz w:val="24"/>
          <w:szCs w:val="24"/>
        </w:rPr>
      </w:pPr>
      <w:r w:rsidRPr="00A23B72">
        <w:rPr>
          <w:rFonts w:ascii="Times New Roman" w:hAnsi="Times New Roman"/>
          <w:sz w:val="24"/>
          <w:szCs w:val="24"/>
        </w:rPr>
        <w:t xml:space="preserve">Em termos de perspectivas feministas epistémicas, a presente pesquisa, </w:t>
      </w:r>
      <w:proofErr w:type="spellStart"/>
      <w:r w:rsidRPr="00A23B72">
        <w:rPr>
          <w:rFonts w:ascii="Times New Roman" w:hAnsi="Times New Roman"/>
          <w:sz w:val="24"/>
          <w:szCs w:val="24"/>
        </w:rPr>
        <w:t>pela</w:t>
      </w:r>
      <w:proofErr w:type="spellEnd"/>
      <w:r w:rsidRPr="00A23B72">
        <w:rPr>
          <w:rFonts w:ascii="Times New Roman" w:hAnsi="Times New Roman"/>
          <w:sz w:val="24"/>
          <w:szCs w:val="24"/>
        </w:rPr>
        <w:t xml:space="preserve"> </w:t>
      </w:r>
      <w:proofErr w:type="spellStart"/>
      <w:r w:rsidRPr="00A23B72">
        <w:rPr>
          <w:rFonts w:ascii="Times New Roman" w:hAnsi="Times New Roman"/>
          <w:sz w:val="24"/>
          <w:szCs w:val="24"/>
        </w:rPr>
        <w:t>sua</w:t>
      </w:r>
      <w:proofErr w:type="spellEnd"/>
      <w:r w:rsidRPr="00A23B72">
        <w:rPr>
          <w:rFonts w:ascii="Times New Roman" w:hAnsi="Times New Roman"/>
          <w:sz w:val="24"/>
          <w:szCs w:val="24"/>
        </w:rPr>
        <w:t xml:space="preserve"> </w:t>
      </w:r>
      <w:proofErr w:type="spellStart"/>
      <w:r w:rsidRPr="00A23B72">
        <w:rPr>
          <w:rFonts w:ascii="Times New Roman" w:hAnsi="Times New Roman"/>
          <w:sz w:val="24"/>
          <w:szCs w:val="24"/>
        </w:rPr>
        <w:t>natureza</w:t>
      </w:r>
      <w:proofErr w:type="spellEnd"/>
      <w:r w:rsidRPr="00A23B72">
        <w:rPr>
          <w:rFonts w:ascii="Times New Roman" w:hAnsi="Times New Roman"/>
          <w:sz w:val="24"/>
          <w:szCs w:val="24"/>
        </w:rPr>
        <w:t xml:space="preserve">, </w:t>
      </w:r>
      <w:proofErr w:type="spellStart"/>
      <w:r w:rsidRPr="00A23B72">
        <w:rPr>
          <w:rFonts w:ascii="Times New Roman" w:hAnsi="Times New Roman"/>
          <w:sz w:val="24"/>
          <w:szCs w:val="24"/>
        </w:rPr>
        <w:t>fundament</w:t>
      </w:r>
      <w:r>
        <w:rPr>
          <w:rFonts w:ascii="Times New Roman" w:hAnsi="Times New Roman"/>
          <w:sz w:val="24"/>
          <w:szCs w:val="24"/>
        </w:rPr>
        <w:t>ou</w:t>
      </w:r>
      <w:proofErr w:type="spellEnd"/>
      <w:r w:rsidRPr="00A23B72">
        <w:rPr>
          <w:rFonts w:ascii="Times New Roman" w:hAnsi="Times New Roman"/>
          <w:sz w:val="24"/>
          <w:szCs w:val="24"/>
        </w:rPr>
        <w:t xml:space="preserve">-se </w:t>
      </w:r>
      <w:proofErr w:type="spellStart"/>
      <w:r w:rsidRPr="00A23B72">
        <w:rPr>
          <w:rFonts w:ascii="Times New Roman" w:hAnsi="Times New Roman"/>
          <w:sz w:val="24"/>
          <w:szCs w:val="24"/>
        </w:rPr>
        <w:t>em</w:t>
      </w:r>
      <w:proofErr w:type="spellEnd"/>
      <w:r w:rsidRPr="00A23B72">
        <w:rPr>
          <w:rFonts w:ascii="Times New Roman" w:hAnsi="Times New Roman"/>
          <w:sz w:val="24"/>
          <w:szCs w:val="24"/>
        </w:rPr>
        <w:t xml:space="preserve"> </w:t>
      </w:r>
      <w:proofErr w:type="spellStart"/>
      <w:r w:rsidRPr="00A23B72">
        <w:rPr>
          <w:rFonts w:ascii="Times New Roman" w:hAnsi="Times New Roman"/>
          <w:sz w:val="24"/>
          <w:szCs w:val="24"/>
        </w:rPr>
        <w:t>duas</w:t>
      </w:r>
      <w:proofErr w:type="spellEnd"/>
      <w:r w:rsidRPr="00A23B72">
        <w:rPr>
          <w:rFonts w:ascii="Times New Roman" w:hAnsi="Times New Roman"/>
          <w:sz w:val="24"/>
          <w:szCs w:val="24"/>
        </w:rPr>
        <w:t xml:space="preserve"> </w:t>
      </w:r>
      <w:proofErr w:type="spellStart"/>
      <w:r w:rsidRPr="00A23B72">
        <w:rPr>
          <w:rFonts w:ascii="Times New Roman" w:hAnsi="Times New Roman"/>
          <w:sz w:val="24"/>
          <w:szCs w:val="24"/>
        </w:rPr>
        <w:t>teorias</w:t>
      </w:r>
      <w:proofErr w:type="spellEnd"/>
      <w:r w:rsidRPr="00A23B72">
        <w:rPr>
          <w:rFonts w:ascii="Times New Roman" w:hAnsi="Times New Roman"/>
          <w:sz w:val="24"/>
          <w:szCs w:val="24"/>
        </w:rPr>
        <w:t xml:space="preserve">, de entre várias. Trata-se da </w:t>
      </w:r>
      <w:r w:rsidRPr="00A23B72">
        <w:rPr>
          <w:rFonts w:ascii="Times New Roman" w:hAnsi="Times New Roman"/>
          <w:i/>
          <w:iCs/>
          <w:sz w:val="24"/>
          <w:szCs w:val="24"/>
        </w:rPr>
        <w:t>Teoria Regimes de Desigualdade</w:t>
      </w:r>
      <w:r w:rsidRPr="00A23B72">
        <w:rPr>
          <w:rFonts w:ascii="Times New Roman" w:hAnsi="Times New Roman"/>
          <w:sz w:val="24"/>
          <w:szCs w:val="24"/>
        </w:rPr>
        <w:t xml:space="preserve">, e da </w:t>
      </w:r>
      <w:r w:rsidRPr="00A23B72">
        <w:rPr>
          <w:rFonts w:ascii="Times New Roman" w:hAnsi="Times New Roman"/>
          <w:i/>
          <w:iCs/>
          <w:sz w:val="24"/>
          <w:szCs w:val="24"/>
        </w:rPr>
        <w:t>Teoria de Injustiça Epistémica</w:t>
      </w:r>
      <w:r w:rsidRPr="00A23B72">
        <w:rPr>
          <w:rFonts w:ascii="Times New Roman" w:hAnsi="Times New Roman"/>
          <w:sz w:val="24"/>
          <w:szCs w:val="24"/>
        </w:rPr>
        <w:t xml:space="preserve">, que são a seguir apresentadas e discutidas. </w:t>
      </w:r>
      <w:bookmarkStart w:id="4" w:name="_Toc151120081"/>
      <w:bookmarkStart w:id="5" w:name="_Toc185235647"/>
    </w:p>
    <w:p w14:paraId="30635A32" w14:textId="0BF1AE48" w:rsidR="00494C44" w:rsidRPr="00494C44" w:rsidRDefault="00494C44" w:rsidP="00494C44">
      <w:pPr>
        <w:pStyle w:val="ListParagraph"/>
        <w:numPr>
          <w:ilvl w:val="0"/>
          <w:numId w:val="10"/>
        </w:numPr>
        <w:spacing w:line="360" w:lineRule="auto"/>
        <w:jc w:val="both"/>
        <w:outlineLvl w:val="2"/>
        <w:rPr>
          <w:rFonts w:ascii="Times New Roman" w:hAnsi="Times New Roman"/>
          <w:b/>
          <w:bCs/>
          <w:sz w:val="24"/>
          <w:szCs w:val="24"/>
        </w:rPr>
      </w:pPr>
      <w:r w:rsidRPr="00494C44">
        <w:rPr>
          <w:rFonts w:ascii="Times New Roman" w:hAnsi="Times New Roman"/>
          <w:b/>
          <w:bCs/>
          <w:sz w:val="24"/>
          <w:szCs w:val="24"/>
        </w:rPr>
        <w:t>Teoria Regimes de Desigualdade (Inequality Regimes Theory)</w:t>
      </w:r>
      <w:bookmarkEnd w:id="4"/>
      <w:bookmarkEnd w:id="5"/>
    </w:p>
    <w:p w14:paraId="6E87F638" w14:textId="77777777" w:rsidR="00494C44" w:rsidRPr="00A23B72" w:rsidRDefault="00494C44" w:rsidP="00494C44">
      <w:pPr>
        <w:spacing w:line="360" w:lineRule="auto"/>
        <w:jc w:val="both"/>
        <w:rPr>
          <w:rFonts w:ascii="Times New Roman" w:hAnsi="Times New Roman"/>
          <w:sz w:val="24"/>
          <w:szCs w:val="24"/>
        </w:rPr>
      </w:pPr>
      <w:r w:rsidRPr="00A23B72">
        <w:rPr>
          <w:rFonts w:ascii="Times New Roman" w:hAnsi="Times New Roman"/>
          <w:sz w:val="24"/>
          <w:szCs w:val="24"/>
        </w:rPr>
        <w:t xml:space="preserve">A teoria </w:t>
      </w:r>
      <w:r w:rsidRPr="00A23B72">
        <w:rPr>
          <w:rFonts w:ascii="Times New Roman" w:hAnsi="Times New Roman"/>
          <w:bCs/>
          <w:sz w:val="24"/>
          <w:szCs w:val="24"/>
        </w:rPr>
        <w:t xml:space="preserve">Regimes de Desigualdade (Inequality Regimes Theory), formulada </w:t>
      </w:r>
      <w:r w:rsidRPr="00A23B72">
        <w:rPr>
          <w:rFonts w:ascii="Times New Roman" w:hAnsi="Times New Roman"/>
          <w:sz w:val="24"/>
          <w:szCs w:val="24"/>
        </w:rPr>
        <w:t xml:space="preserve">por Acker (2006, p. 443), defende que as “práticas, processos, acções e significados” podem conduzir a desigualdades progressivas e persistentes nas instituições, durante o exercício das actividades, ou na forma em que estas estão organizadas/estruturadas. Por isso a necessidade de se analisar a sua funcionalidade com o intuito de avaliar até que ponto as suas práticas e procedimentos não colocam em causa ou não (re) produzem as desigualdades. Esta teoria refere que, em determinadas situações, e como consequência das lutas actuais, há esforços em eliminar as desigualdades. Contudo, ao nível institucional, podem existir aspectos, ainda que invisíveis, que podem bloquear esta pretensão. </w:t>
      </w:r>
    </w:p>
    <w:p w14:paraId="5128F1AC" w14:textId="2517F883" w:rsidR="00494C44" w:rsidRPr="008353C1" w:rsidRDefault="00494C44" w:rsidP="008353C1">
      <w:pPr>
        <w:spacing w:line="240" w:lineRule="auto"/>
        <w:ind w:left="2880"/>
        <w:jc w:val="both"/>
        <w:rPr>
          <w:rFonts w:ascii="Times New Roman" w:hAnsi="Times New Roman"/>
          <w:sz w:val="20"/>
          <w:szCs w:val="20"/>
          <w:lang w:val="pt-BR"/>
        </w:rPr>
      </w:pPr>
      <w:r w:rsidRPr="00A23B72">
        <w:rPr>
          <w:rFonts w:ascii="Times New Roman" w:hAnsi="Times New Roman"/>
          <w:sz w:val="20"/>
          <w:szCs w:val="20"/>
        </w:rPr>
        <w:t xml:space="preserve">All organizations have inequality regimes, defined as loosely interrelated practices, processes, actions, and meanings that result in and maintain class, gender, and racial inequalities within particular organizations. (…) Even organizations that have explicit egalitarian goals develop inequality regimes over time (…) </w:t>
      </w:r>
      <w:r w:rsidRPr="00A23B72">
        <w:rPr>
          <w:rFonts w:ascii="Times New Roman" w:hAnsi="Times New Roman"/>
          <w:sz w:val="20"/>
          <w:szCs w:val="20"/>
          <w:lang w:val="pt-BR"/>
        </w:rPr>
        <w:t>(Acker, 2006. p. 443)</w:t>
      </w:r>
    </w:p>
    <w:p w14:paraId="2ACC3FE8" w14:textId="77777777" w:rsidR="00494C44" w:rsidRPr="00A23B72" w:rsidRDefault="00494C44" w:rsidP="00494C44">
      <w:pPr>
        <w:spacing w:line="360" w:lineRule="auto"/>
        <w:jc w:val="both"/>
        <w:rPr>
          <w:rFonts w:ascii="Times New Roman" w:hAnsi="Times New Roman"/>
          <w:sz w:val="24"/>
          <w:szCs w:val="24"/>
        </w:rPr>
      </w:pPr>
      <w:r w:rsidRPr="00A23B72">
        <w:rPr>
          <w:rFonts w:ascii="Times New Roman" w:hAnsi="Times New Roman"/>
          <w:sz w:val="24"/>
          <w:szCs w:val="24"/>
        </w:rPr>
        <w:t>Estudos</w:t>
      </w:r>
      <w:r>
        <w:rPr>
          <w:rFonts w:ascii="Times New Roman" w:hAnsi="Times New Roman"/>
          <w:sz w:val="24"/>
          <w:szCs w:val="24"/>
        </w:rPr>
        <w:t xml:space="preserve"> que</w:t>
      </w:r>
      <w:r w:rsidRPr="00A23B72">
        <w:rPr>
          <w:rFonts w:ascii="Times New Roman" w:hAnsi="Times New Roman"/>
          <w:sz w:val="24"/>
          <w:szCs w:val="24"/>
        </w:rPr>
        <w:t xml:space="preserve"> têm sido conduzidos por feministas, assim como por outros teóricos de modo a analisar as relações de género e compreender a questão das desigualdades nas instituições têm confirmado que as desigualdades teimam em persistir nesses contextos. Por exemplo, num dos estudos sobre género e processos em seis agências bancárias, numa delas verificou-se que, apesar de contar com um número maioritário de funcionárias e com ínfimas diferenças </w:t>
      </w:r>
      <w:r w:rsidRPr="00A23B72">
        <w:rPr>
          <w:rFonts w:ascii="Times New Roman" w:hAnsi="Times New Roman"/>
          <w:sz w:val="24"/>
          <w:szCs w:val="24"/>
        </w:rPr>
        <w:lastRenderedPageBreak/>
        <w:t>em termos de status e poder, relativamente aos seus colegas homens, a estes é que estava maioritariamente conferida a categoria de supervisores. Apenas uma agência foi considerada como adoptando um paradigma participativo igualitário, nessa categoria, contando, por isso, com funcionários e funcionárias como supervisores/as, como refere (Acker, 2006).</w:t>
      </w:r>
    </w:p>
    <w:p w14:paraId="377B911F" w14:textId="4C6C25F2" w:rsidR="00494C44" w:rsidRPr="006D0842" w:rsidRDefault="00494C44" w:rsidP="006D0842">
      <w:pPr>
        <w:spacing w:line="360" w:lineRule="auto"/>
        <w:jc w:val="both"/>
        <w:rPr>
          <w:rFonts w:ascii="Times New Roman" w:hAnsi="Times New Roman"/>
          <w:sz w:val="24"/>
          <w:szCs w:val="24"/>
        </w:rPr>
      </w:pPr>
      <w:r w:rsidRPr="00A23B72">
        <w:rPr>
          <w:rFonts w:ascii="Times New Roman" w:hAnsi="Times New Roman"/>
          <w:sz w:val="24"/>
          <w:szCs w:val="24"/>
        </w:rPr>
        <w:t>Nesta explanação, fundamentada por um exemplo prático, percebe-se as premissas de Acker (2006) quando considera o contexto organizacional como espaço fértil para a criação ou existência de desigualdades.  De igual modo, é possível verificar que essas desigualdades se relacionam com os paradigmas de funcionalidade organizacional adoptadas pela instituição. Portanto, isto demonstra que é possível que as próprias organizações criem ou sejam o centro das desigualdades ou igualdade, dependendo da funcionalidade implementada pelas mesmas.</w:t>
      </w:r>
    </w:p>
    <w:p w14:paraId="43A87026" w14:textId="2742D8AF" w:rsidR="00494C44" w:rsidRPr="00494C44" w:rsidRDefault="00494C44" w:rsidP="00494C44">
      <w:pPr>
        <w:pStyle w:val="ListParagraph"/>
        <w:numPr>
          <w:ilvl w:val="0"/>
          <w:numId w:val="10"/>
        </w:numPr>
        <w:spacing w:line="360" w:lineRule="auto"/>
        <w:jc w:val="both"/>
        <w:outlineLvl w:val="2"/>
        <w:rPr>
          <w:rFonts w:ascii="Times New Roman" w:hAnsi="Times New Roman"/>
          <w:b/>
          <w:bCs/>
          <w:sz w:val="24"/>
          <w:szCs w:val="24"/>
        </w:rPr>
      </w:pPr>
      <w:r w:rsidRPr="00494C44">
        <w:rPr>
          <w:rFonts w:ascii="Times New Roman" w:hAnsi="Times New Roman"/>
          <w:b/>
          <w:bCs/>
          <w:sz w:val="24"/>
          <w:szCs w:val="24"/>
        </w:rPr>
        <w:t>Teoria de Injustiça Epistémica (Epistemic InjusticeTheory)</w:t>
      </w:r>
    </w:p>
    <w:p w14:paraId="2FE34037" w14:textId="77777777" w:rsidR="00494C44" w:rsidRPr="00381ECC" w:rsidRDefault="00494C44" w:rsidP="00494C44">
      <w:pPr>
        <w:spacing w:line="360" w:lineRule="auto"/>
        <w:jc w:val="both"/>
        <w:rPr>
          <w:rFonts w:ascii="Times New Roman" w:hAnsi="Times New Roman"/>
          <w:sz w:val="24"/>
          <w:szCs w:val="24"/>
        </w:rPr>
      </w:pPr>
      <w:r w:rsidRPr="00A23B72">
        <w:rPr>
          <w:rFonts w:ascii="Times New Roman" w:hAnsi="Times New Roman"/>
          <w:sz w:val="24"/>
          <w:szCs w:val="24"/>
        </w:rPr>
        <w:t xml:space="preserve">A teoria de </w:t>
      </w:r>
      <w:r w:rsidRPr="00494C44">
        <w:rPr>
          <w:rFonts w:ascii="Times New Roman" w:hAnsi="Times New Roman"/>
          <w:bCs/>
          <w:sz w:val="24"/>
          <w:szCs w:val="24"/>
        </w:rPr>
        <w:t>Injustiça Epistémica</w:t>
      </w:r>
      <w:r w:rsidRPr="00A23B72">
        <w:rPr>
          <w:rFonts w:ascii="Times New Roman" w:hAnsi="Times New Roman"/>
          <w:sz w:val="24"/>
          <w:szCs w:val="24"/>
        </w:rPr>
        <w:t xml:space="preserve"> de Fricker (2007) defende que há uma injustiça epistémica quando se actua erroneamente na capacidade de conhecedor da pessoa, tendo em conta aspectos como género, raça, classe, entre outros. Na sua explanação, este teórico indica que a injustiça pode subdividir-se em dois tipos: injustiça testemunhal (</w:t>
      </w:r>
      <w:r w:rsidRPr="0022421B">
        <w:rPr>
          <w:rFonts w:ascii="Times New Roman" w:hAnsi="Times New Roman"/>
          <w:i/>
          <w:iCs/>
          <w:sz w:val="24"/>
          <w:szCs w:val="24"/>
        </w:rPr>
        <w:t>testimunial injustice</w:t>
      </w:r>
      <w:r w:rsidRPr="00A23B72">
        <w:rPr>
          <w:rFonts w:ascii="Times New Roman" w:hAnsi="Times New Roman"/>
          <w:sz w:val="24"/>
          <w:szCs w:val="24"/>
        </w:rPr>
        <w:t>) e injustiça hermenêutica (</w:t>
      </w:r>
      <w:r w:rsidRPr="0022421B">
        <w:rPr>
          <w:rFonts w:ascii="Times New Roman" w:hAnsi="Times New Roman"/>
          <w:i/>
          <w:iCs/>
          <w:sz w:val="24"/>
          <w:szCs w:val="24"/>
        </w:rPr>
        <w:t>hermeneutical injustice</w:t>
      </w:r>
      <w:r w:rsidRPr="00A23B72">
        <w:rPr>
          <w:rFonts w:ascii="Times New Roman" w:hAnsi="Times New Roman"/>
          <w:sz w:val="24"/>
          <w:szCs w:val="24"/>
        </w:rPr>
        <w:t xml:space="preserve">). A primeira ocorre quando preconceitos influenciam no valor que é dado à posição da pessoa como oradora, e a segunda quando condições anteriores das suas vivências sociais durante seu percurso vital colocam a pessoa numa situação de desvantagem. </w:t>
      </w:r>
      <w:proofErr w:type="spellStart"/>
      <w:r w:rsidRPr="00381ECC">
        <w:rPr>
          <w:rFonts w:ascii="Times New Roman" w:hAnsi="Times New Roman"/>
          <w:sz w:val="24"/>
          <w:szCs w:val="24"/>
        </w:rPr>
        <w:t>Nas</w:t>
      </w:r>
      <w:proofErr w:type="spellEnd"/>
      <w:r w:rsidRPr="00381ECC">
        <w:rPr>
          <w:rFonts w:ascii="Times New Roman" w:hAnsi="Times New Roman"/>
          <w:sz w:val="24"/>
          <w:szCs w:val="24"/>
        </w:rPr>
        <w:t xml:space="preserve"> </w:t>
      </w:r>
      <w:proofErr w:type="spellStart"/>
      <w:r w:rsidRPr="00381ECC">
        <w:rPr>
          <w:rFonts w:ascii="Times New Roman" w:hAnsi="Times New Roman"/>
          <w:sz w:val="24"/>
          <w:szCs w:val="24"/>
        </w:rPr>
        <w:t>palavras</w:t>
      </w:r>
      <w:proofErr w:type="spellEnd"/>
      <w:r w:rsidRPr="00381ECC">
        <w:rPr>
          <w:rFonts w:ascii="Times New Roman" w:hAnsi="Times New Roman"/>
          <w:sz w:val="24"/>
          <w:szCs w:val="24"/>
        </w:rPr>
        <w:t xml:space="preserve"> do </w:t>
      </w:r>
      <w:proofErr w:type="spellStart"/>
      <w:r w:rsidRPr="00381ECC">
        <w:rPr>
          <w:rFonts w:ascii="Times New Roman" w:hAnsi="Times New Roman"/>
          <w:sz w:val="24"/>
          <w:szCs w:val="24"/>
        </w:rPr>
        <w:t>autor</w:t>
      </w:r>
      <w:proofErr w:type="spellEnd"/>
      <w:r w:rsidRPr="00381ECC">
        <w:rPr>
          <w:rFonts w:ascii="Times New Roman" w:hAnsi="Times New Roman"/>
          <w:sz w:val="24"/>
          <w:szCs w:val="24"/>
        </w:rPr>
        <w:t>:</w:t>
      </w:r>
    </w:p>
    <w:p w14:paraId="240E4052" w14:textId="3C2352BA" w:rsidR="00494C44" w:rsidRDefault="00494C44" w:rsidP="00C43311">
      <w:pPr>
        <w:spacing w:line="360" w:lineRule="auto"/>
        <w:ind w:left="2880"/>
        <w:jc w:val="both"/>
        <w:rPr>
          <w:rFonts w:ascii="Times New Roman" w:hAnsi="Times New Roman"/>
          <w:sz w:val="24"/>
          <w:szCs w:val="24"/>
        </w:rPr>
      </w:pPr>
      <w:r w:rsidRPr="00A23B72">
        <w:rPr>
          <w:rFonts w:ascii="Times New Roman" w:hAnsi="Times New Roman"/>
          <w:sz w:val="20"/>
          <w:szCs w:val="20"/>
        </w:rPr>
        <w:t xml:space="preserve">(…) epistemic injustice (…) consisting, most fundamentally, in a wrong done to someone specifically in their capacity as a knower.  I call them </w:t>
      </w:r>
      <w:r w:rsidRPr="00A23B72">
        <w:rPr>
          <w:rFonts w:ascii="Times New Roman" w:hAnsi="Times New Roman"/>
          <w:i/>
          <w:iCs/>
          <w:sz w:val="20"/>
          <w:szCs w:val="20"/>
        </w:rPr>
        <w:t xml:space="preserve">testimonial injustice </w:t>
      </w:r>
      <w:r w:rsidRPr="00A23B72">
        <w:rPr>
          <w:rFonts w:ascii="Times New Roman" w:hAnsi="Times New Roman"/>
          <w:sz w:val="20"/>
          <w:szCs w:val="20"/>
        </w:rPr>
        <w:t xml:space="preserve">and </w:t>
      </w:r>
      <w:r w:rsidRPr="00A23B72">
        <w:rPr>
          <w:rFonts w:ascii="Times New Roman" w:hAnsi="Times New Roman"/>
          <w:i/>
          <w:iCs/>
          <w:sz w:val="20"/>
          <w:szCs w:val="20"/>
        </w:rPr>
        <w:t>hermeneutical injustice</w:t>
      </w:r>
      <w:r w:rsidRPr="00A23B72">
        <w:rPr>
          <w:rFonts w:ascii="Times New Roman" w:hAnsi="Times New Roman"/>
          <w:sz w:val="20"/>
          <w:szCs w:val="20"/>
        </w:rPr>
        <w:t>. Testimonial injustice occurs when prejudice causes a hearer to give a deflated level of credibility to a speaker’s word; hermeneutical injustice occurs at a prior stage, when a gap in collective interpretive resources puts someone at an unfair disadvantage when it comes to making sense of their social experiences.</w:t>
      </w:r>
      <w:r w:rsidRPr="00A23B72">
        <w:rPr>
          <w:rFonts w:ascii="Times New Roman" w:hAnsi="Times New Roman"/>
          <w:sz w:val="24"/>
          <w:szCs w:val="24"/>
        </w:rPr>
        <w:t xml:space="preserve"> (Fricker, 2007. p. 1)</w:t>
      </w:r>
    </w:p>
    <w:p w14:paraId="3FF20B4D" w14:textId="2DDE9C22" w:rsidR="00494C44" w:rsidRDefault="00494C44" w:rsidP="00494C44">
      <w:p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 xml:space="preserve">Fricker (2007), sustenta que a injustiças epistémica pode ocorrer em </w:t>
      </w:r>
      <w:r w:rsidR="00845C4C">
        <w:rPr>
          <w:rFonts w:ascii="Times New Roman" w:hAnsi="Times New Roman"/>
          <w:color w:val="000000"/>
          <w:sz w:val="24"/>
          <w:szCs w:val="24"/>
          <w:lang w:val="pt-PT"/>
        </w:rPr>
        <w:t>várias</w:t>
      </w:r>
      <w:r>
        <w:rPr>
          <w:rFonts w:ascii="Times New Roman" w:hAnsi="Times New Roman"/>
          <w:color w:val="000000"/>
          <w:sz w:val="24"/>
          <w:szCs w:val="24"/>
          <w:lang w:val="pt-PT"/>
        </w:rPr>
        <w:t xml:space="preserve"> dimensões:</w:t>
      </w:r>
    </w:p>
    <w:p w14:paraId="5A293E9A" w14:textId="32F2CE69" w:rsidR="00845C4C" w:rsidRDefault="00845C4C" w:rsidP="00845C4C">
      <w:pPr>
        <w:pStyle w:val="ListParagraph"/>
        <w:numPr>
          <w:ilvl w:val="0"/>
          <w:numId w:val="11"/>
        </w:num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Acesso – negar acesso ao conhecimento,</w:t>
      </w:r>
    </w:p>
    <w:p w14:paraId="25AEE844" w14:textId="401B67A7" w:rsidR="00845C4C" w:rsidRDefault="00845C4C" w:rsidP="00845C4C">
      <w:pPr>
        <w:pStyle w:val="ListParagraph"/>
        <w:numPr>
          <w:ilvl w:val="0"/>
          <w:numId w:val="11"/>
        </w:num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Recursos – não prover recursos necessários para a aprendizagem,</w:t>
      </w:r>
    </w:p>
    <w:p w14:paraId="00A32C8D" w14:textId="75AF2990" w:rsidR="00845C4C" w:rsidRDefault="00845C4C" w:rsidP="00845C4C">
      <w:pPr>
        <w:pStyle w:val="ListParagraph"/>
        <w:numPr>
          <w:ilvl w:val="0"/>
          <w:numId w:val="11"/>
        </w:num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Tratamento – tratar aprendizes de forma diferenciada,</w:t>
      </w:r>
    </w:p>
    <w:p w14:paraId="656C462E" w14:textId="65CBACF0" w:rsidR="00845C4C" w:rsidRPr="00845C4C" w:rsidRDefault="00845C4C" w:rsidP="00845C4C">
      <w:pPr>
        <w:pStyle w:val="ListParagraph"/>
        <w:numPr>
          <w:ilvl w:val="0"/>
          <w:numId w:val="11"/>
        </w:num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lastRenderedPageBreak/>
        <w:t>Participação – bloquear espaço de participação ou não dar conceder oportunidade para participar.</w:t>
      </w:r>
    </w:p>
    <w:p w14:paraId="1AF0EAB5" w14:textId="6BF88157" w:rsidR="00845C4C" w:rsidRDefault="00845C4C" w:rsidP="00494C44">
      <w:p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A injustiça epistémica poder ocorrer em qualquer uma destas dimensões no processo de aprendizagem.</w:t>
      </w:r>
    </w:p>
    <w:p w14:paraId="02472157" w14:textId="18DA9871" w:rsidR="004A2A0F" w:rsidRPr="004A2A0F" w:rsidRDefault="004A2A0F" w:rsidP="00A71209">
      <w:pPr>
        <w:spacing w:line="360" w:lineRule="auto"/>
        <w:jc w:val="both"/>
        <w:rPr>
          <w:rFonts w:ascii="Times New Roman" w:hAnsi="Times New Roman"/>
          <w:b/>
          <w:bCs/>
          <w:color w:val="000000"/>
          <w:sz w:val="24"/>
          <w:szCs w:val="24"/>
          <w:lang w:val="pt-PT"/>
        </w:rPr>
      </w:pPr>
      <w:r w:rsidRPr="004A2A0F">
        <w:rPr>
          <w:rFonts w:ascii="Times New Roman" w:hAnsi="Times New Roman"/>
          <w:b/>
          <w:bCs/>
          <w:color w:val="000000"/>
          <w:sz w:val="24"/>
          <w:szCs w:val="24"/>
          <w:lang w:val="pt-PT"/>
        </w:rPr>
        <w:t>Metodologia</w:t>
      </w:r>
    </w:p>
    <w:p w14:paraId="7A9C0DA0" w14:textId="718E6D1F" w:rsidR="0016225A" w:rsidRPr="0016225A" w:rsidRDefault="0016225A" w:rsidP="0016225A">
      <w:pPr>
        <w:spacing w:line="360" w:lineRule="auto"/>
        <w:jc w:val="both"/>
        <w:rPr>
          <w:rFonts w:ascii="Times New Roman" w:hAnsi="Times New Roman"/>
          <w:color w:val="000000"/>
          <w:sz w:val="24"/>
          <w:szCs w:val="24"/>
          <w:lang w:val="pt-PT"/>
        </w:rPr>
      </w:pPr>
      <w:r w:rsidRPr="0016225A">
        <w:rPr>
          <w:rFonts w:ascii="Times New Roman" w:hAnsi="Times New Roman"/>
          <w:color w:val="000000"/>
          <w:sz w:val="24"/>
          <w:szCs w:val="24"/>
          <w:lang w:val="pt-PT"/>
        </w:rPr>
        <w:t xml:space="preserve">Nesta pesquisa teve-se como campo de estudo quatro Centros Infantis da Cidade de Maputo que se passa a descrever com uma denominação codificada por questões éticas. Em termos de localização dos mesmos temos os bairros da Sommerschield, Zimpeto, Central e Alto-maé. </w:t>
      </w:r>
      <w:r w:rsidR="006A3849">
        <w:rPr>
          <w:rFonts w:ascii="Times New Roman" w:hAnsi="Times New Roman"/>
          <w:color w:val="000000"/>
          <w:sz w:val="24"/>
          <w:szCs w:val="24"/>
          <w:lang w:val="pt-PT"/>
        </w:rPr>
        <w:t>Ou zona urbana, periurbana e periférica.</w:t>
      </w:r>
    </w:p>
    <w:p w14:paraId="31DC5A51" w14:textId="3786CAEF" w:rsidR="0075213B" w:rsidRDefault="0016225A" w:rsidP="0016225A">
      <w:pPr>
        <w:spacing w:line="360" w:lineRule="auto"/>
        <w:jc w:val="both"/>
        <w:rPr>
          <w:rFonts w:ascii="Times New Roman" w:hAnsi="Times New Roman"/>
          <w:color w:val="000000"/>
          <w:sz w:val="24"/>
          <w:szCs w:val="24"/>
          <w:lang w:val="pt-PT"/>
        </w:rPr>
      </w:pPr>
      <w:r w:rsidRPr="0016225A">
        <w:rPr>
          <w:rFonts w:ascii="Times New Roman" w:hAnsi="Times New Roman"/>
          <w:color w:val="000000"/>
          <w:sz w:val="24"/>
          <w:szCs w:val="24"/>
          <w:lang w:val="pt-PT"/>
        </w:rPr>
        <w:t>A Cidade de Maputo constitui a capital de Moçambique e encontra-se a Sul do País. Esta cidade tem a sua criação o séc. XVI pelos Portugueses durante a colonização e foi, nessa altura, denominada de Lourenço Marques.  Após a independência de Moçambique em 1975, passa para Maputo, denominação inspirada do Rio Maputo (Pimentel, 2013. p. 46-47; Stacciarini, Chaveiro e Azevedo, 2023. p. 2-3; Araújo, 1999. p. 178). A cidade, como se pode verificar no mapa, cita na margem ocidental da Baia de Maputo e tem como limites a Noroeste e Oeste a Cidade da Matola, a Norte o Município de Marracuene, a Oeste Município de Boane e a Sul Matutuíne.</w:t>
      </w:r>
    </w:p>
    <w:p w14:paraId="4874325C" w14:textId="77777777" w:rsidR="008353C1" w:rsidRDefault="008353C1" w:rsidP="0016225A">
      <w:pPr>
        <w:spacing w:line="360" w:lineRule="auto"/>
        <w:jc w:val="both"/>
        <w:rPr>
          <w:rFonts w:ascii="Times New Roman" w:hAnsi="Times New Roman"/>
          <w:color w:val="000000"/>
          <w:sz w:val="24"/>
          <w:szCs w:val="24"/>
          <w:lang w:val="pt-PT"/>
        </w:rPr>
      </w:pPr>
    </w:p>
    <w:p w14:paraId="21AC7235" w14:textId="674E7891" w:rsidR="0075213B" w:rsidRDefault="0075213B" w:rsidP="0016225A">
      <w:pPr>
        <w:spacing w:line="360" w:lineRule="auto"/>
        <w:jc w:val="both"/>
        <w:rPr>
          <w:rFonts w:ascii="Times New Roman" w:hAnsi="Times New Roman"/>
          <w:color w:val="000000"/>
          <w:sz w:val="24"/>
          <w:szCs w:val="24"/>
          <w:lang w:val="pt-PT"/>
        </w:rPr>
      </w:pPr>
      <w:r>
        <w:rPr>
          <w:rFonts w:ascii="Times New Roman" w:hAnsi="Times New Roman"/>
          <w:color w:val="000000"/>
          <w:sz w:val="24"/>
          <w:szCs w:val="24"/>
          <w:lang w:val="pt-PT"/>
        </w:rPr>
        <w:t>Figura</w:t>
      </w:r>
      <w:r w:rsidR="0033575E">
        <w:rPr>
          <w:rFonts w:ascii="Times New Roman" w:hAnsi="Times New Roman"/>
          <w:color w:val="000000"/>
          <w:sz w:val="24"/>
          <w:szCs w:val="24"/>
          <w:lang w:val="pt-PT"/>
        </w:rPr>
        <w:t xml:space="preserve"> 1</w:t>
      </w:r>
    </w:p>
    <w:p w14:paraId="1C583C03" w14:textId="27E35A83" w:rsidR="0033575E" w:rsidRPr="006D0842" w:rsidRDefault="0033575E" w:rsidP="0016225A">
      <w:pPr>
        <w:spacing w:line="360" w:lineRule="auto"/>
        <w:jc w:val="both"/>
        <w:rPr>
          <w:rFonts w:ascii="Times New Roman" w:hAnsi="Times New Roman"/>
          <w:i/>
          <w:iCs/>
          <w:color w:val="000000"/>
          <w:sz w:val="24"/>
          <w:szCs w:val="24"/>
          <w:lang w:val="pt-PT"/>
        </w:rPr>
      </w:pPr>
      <w:r w:rsidRPr="003426A2">
        <w:rPr>
          <w:rFonts w:ascii="Times New Roman" w:eastAsia="Calibri" w:hAnsi="Times New Roman" w:cs="Times New Roman"/>
          <w:i/>
          <w:iCs/>
          <w:color w:val="000000"/>
          <w:kern w:val="0"/>
          <w:sz w:val="24"/>
          <w:szCs w:val="24"/>
          <w:lang w:val="pt-PT"/>
          <w14:ligatures w14:val="none"/>
        </w:rPr>
        <w:t>Mapa da Cidade de Maputo</w:t>
      </w:r>
    </w:p>
    <w:p w14:paraId="1178B279" w14:textId="57B1D922" w:rsidR="0016225A" w:rsidRPr="0016225A" w:rsidRDefault="0016225A" w:rsidP="0016225A">
      <w:pPr>
        <w:spacing w:line="360" w:lineRule="auto"/>
        <w:jc w:val="both"/>
        <w:rPr>
          <w:rFonts w:ascii="Times New Roman" w:eastAsia="Calibri" w:hAnsi="Times New Roman" w:cs="Times New Roman"/>
          <w:color w:val="000000"/>
          <w:kern w:val="0"/>
          <w:sz w:val="24"/>
          <w:szCs w:val="24"/>
          <w:lang w:val="pt-PT"/>
          <w14:ligatures w14:val="none"/>
        </w:rPr>
      </w:pPr>
      <w:r w:rsidRPr="0016225A">
        <w:rPr>
          <w:rFonts w:ascii="Times New Roman" w:eastAsia="Calibri" w:hAnsi="Times New Roman" w:cs="Times New Roman"/>
          <w:noProof/>
          <w:color w:val="000000"/>
          <w:kern w:val="0"/>
          <w:sz w:val="24"/>
          <w:szCs w:val="24"/>
          <w14:ligatures w14:val="none"/>
        </w:rPr>
        <mc:AlternateContent>
          <mc:Choice Requires="wps">
            <w:drawing>
              <wp:anchor distT="0" distB="0" distL="114300" distR="114300" simplePos="0" relativeHeight="251661312" behindDoc="0" locked="0" layoutInCell="1" allowOverlap="1" wp14:anchorId="57D437CC" wp14:editId="3C62798F">
                <wp:simplePos x="0" y="0"/>
                <wp:positionH relativeFrom="column">
                  <wp:posOffset>209550</wp:posOffset>
                </wp:positionH>
                <wp:positionV relativeFrom="paragraph">
                  <wp:posOffset>1941195</wp:posOffset>
                </wp:positionV>
                <wp:extent cx="752475" cy="206375"/>
                <wp:effectExtent l="9525" t="7620" r="9525" b="5080"/>
                <wp:wrapNone/>
                <wp:docPr id="1617720306" name="Caixa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06375"/>
                        </a:xfrm>
                        <a:prstGeom prst="rect">
                          <a:avLst/>
                        </a:prstGeom>
                        <a:solidFill>
                          <a:srgbClr val="FFFFFF"/>
                        </a:solidFill>
                        <a:ln w="9525">
                          <a:solidFill>
                            <a:srgbClr val="000000"/>
                          </a:solidFill>
                          <a:miter lim="800000"/>
                          <a:headEnd/>
                          <a:tailEnd/>
                        </a:ln>
                      </wps:spPr>
                      <wps:txbx>
                        <w:txbxContent>
                          <w:p w14:paraId="37AA2C97"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Estuário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D437CC" id="_x0000_t202" coordsize="21600,21600" o:spt="202" path="m,l,21600r21600,l21600,xe">
                <v:stroke joinstyle="miter"/>
                <v:path gradientshapeok="t" o:connecttype="rect"/>
              </v:shapetype>
              <v:shape id="Caixa de texto 6" o:spid="_x0000_s1026" type="#_x0000_t202" style="position:absolute;left:0;text-align:left;margin-left:16.5pt;margin-top:152.85pt;width:59.25pt;height:1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QKGFAIAACoEAAAOAAAAZHJzL2Uyb0RvYy54bWysU9tu2zAMfR+wfxD0vjjxkl6MOEWXLsOA&#10;7gJ0+wBZlmNhsqhRSuzs60vJaZrdXobpQSBF6pA8JJc3Q2fYXqHXYEs+m0w5U1ZCre225F+/bF5d&#10;ceaDsLUwYFXJD8rzm9XLF8veFSqHFkytkBGI9UXvSt6G4Ios87JVnfATcMqSsQHsRCAVt1mNoif0&#10;zmT5dHqR9YC1Q5DKe3q9G418lfCbRsnwqWm8CsyUnHIL6cZ0V/HOVktRbFG4VstjGuIfsuiEthT0&#10;BHUngmA71L9BdVoieGjCREKXQdNoqVINVM1s+ks1D61wKtVC5Hh3osn/P1j5cf/gPiMLwxsYqIGp&#10;CO/uQX7zzMK6FXarbhGhb5WoKfAsUpb1zhfHr5FqX/gIUvUfoKYmi12ABDQ02EVWqE5G6NSAw4l0&#10;NQQm6fFykc8vF5xJMuXTi9ckxwiiePrs0Id3CjoWhZIj9TSBi/29D6Prk0uM5cHoeqONSQpuq7VB&#10;thfU/006R/Sf3IxlfcmvF/lirP+vENN0/gTR6UCDbHRX8quTkygia29tncYsCG1Gmaoz9khjZG7k&#10;MAzVQI6RzgrqAxGKMA4sLRgJLeAPznoa1pL77zuBijPz3lJTrmfzeZzupMwXlzkpeG6pzi3CSoIq&#10;eeBsFNdh3IidQ71tKdI4BhZuqZGNTiQ/Z3XMmwYytem4PHHiz/Xk9bziq0cAAAD//wMAUEsDBBQA&#10;BgAIAAAAIQBMXo8r4wAAAA8BAAAPAAAAZHJzL2Rvd25yZXYueG1sTI9BT8MwDIXvSPyHyEhcEEu3&#10;0q10TScEAo0bDATXrMnaisQpSdaVf497gost69nP7ys3ozVs0D50DgXMZwkwjbVTHTYC3t8er3Ng&#10;IUpU0jjUAn50gE11flbKQrkTvuphFxtGJhgKKaCNsS84D3WrrQwz12sk7eC8lZFG33Dl5YnMreGL&#10;JFlyKzukD63s9X2r66/d0QrIb7bDZ3hOXz7q5cHcxqvV8PTthbi8GB/WVO7WwKIe498FTAyUHyoK&#10;tndHVIEZAWlKPJF6kq2ATQvZPAO2n5R8Abwq+X+O6hcAAP//AwBQSwECLQAUAAYACAAAACEAtoM4&#10;kv4AAADhAQAAEwAAAAAAAAAAAAAAAAAAAAAAW0NvbnRlbnRfVHlwZXNdLnhtbFBLAQItABQABgAI&#10;AAAAIQA4/SH/1gAAAJQBAAALAAAAAAAAAAAAAAAAAC8BAABfcmVscy8ucmVsc1BLAQItABQABgAI&#10;AAAAIQC14QKGFAIAACoEAAAOAAAAAAAAAAAAAAAAAC4CAABkcnMvZTJvRG9jLnhtbFBLAQItABQA&#10;BgAIAAAAIQBMXo8r4wAAAA8BAAAPAAAAAAAAAAAAAAAAAG4EAABkcnMvZG93bnJldi54bWxQSwUG&#10;AAAAAAQABADzAAAAfgUAAAAA&#10;">
                <v:textbox>
                  <w:txbxContent>
                    <w:p w14:paraId="37AA2C97"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Estuário</w:t>
                      </w:r>
                    </w:p>
                  </w:txbxContent>
                </v:textbox>
              </v:shape>
            </w:pict>
          </mc:Fallback>
        </mc:AlternateContent>
      </w:r>
      <w:r w:rsidRPr="0016225A">
        <w:rPr>
          <w:rFonts w:ascii="Times New Roman" w:eastAsia="Calibri" w:hAnsi="Times New Roman" w:cs="Times New Roman"/>
          <w:noProof/>
          <w:color w:val="000000"/>
          <w:kern w:val="0"/>
          <w:sz w:val="24"/>
          <w:szCs w:val="24"/>
          <w14:ligatures w14:val="none"/>
        </w:rPr>
        <mc:AlternateContent>
          <mc:Choice Requires="wps">
            <w:drawing>
              <wp:anchor distT="0" distB="0" distL="114300" distR="114300" simplePos="0" relativeHeight="251660288" behindDoc="0" locked="0" layoutInCell="1" allowOverlap="1" wp14:anchorId="036D79AF" wp14:editId="7EB7AEF3">
                <wp:simplePos x="0" y="0"/>
                <wp:positionH relativeFrom="column">
                  <wp:posOffset>51435</wp:posOffset>
                </wp:positionH>
                <wp:positionV relativeFrom="paragraph">
                  <wp:posOffset>594360</wp:posOffset>
                </wp:positionV>
                <wp:extent cx="991235" cy="196215"/>
                <wp:effectExtent l="13335" t="13335" r="5080" b="9525"/>
                <wp:wrapNone/>
                <wp:docPr id="469484858" name="Caixa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1235" cy="196215"/>
                        </a:xfrm>
                        <a:prstGeom prst="rect">
                          <a:avLst/>
                        </a:prstGeom>
                        <a:solidFill>
                          <a:srgbClr val="FFFFFF"/>
                        </a:solidFill>
                        <a:ln w="9525">
                          <a:solidFill>
                            <a:srgbClr val="000000"/>
                          </a:solidFill>
                          <a:miter lim="800000"/>
                          <a:headEnd/>
                          <a:tailEnd/>
                        </a:ln>
                      </wps:spPr>
                      <wps:txbx>
                        <w:txbxContent>
                          <w:p w14:paraId="66E8F4B4"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Cidade da Matola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6D79AF" id="Caixa de texto 5" o:spid="_x0000_s1027" type="#_x0000_t202" style="position:absolute;left:0;text-align:left;margin-left:4.05pt;margin-top:46.8pt;width:78.05pt;height:15.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dTZGAIAADEEAAAOAAAAZHJzL2Uyb0RvYy54bWysU9tu2zAMfR+wfxD0vjjOkq4x4hRdugwD&#10;ugvQ7QMUWY6FyaJGKbGzrx8lu2l2exmmB4EUqUPykFzd9K1hR4Vegy15PplypqyEStt9yb983r64&#10;5swHYSthwKqSn5TnN+vnz1adK9QMGjCVQkYg1hedK3kTgiuyzMtGtcJPwClLxhqwFYFU3GcVio7Q&#10;W5PNptOrrAOsHIJU3tPr3WDk64Rf10qGj3XtVWCm5JRbSDemexfvbL0SxR6Fa7Qc0xD/kEUrtKWg&#10;Z6g7EQQ7oP4NqtUSwUMdJhLaDOpaS5VqoGry6S/VPDTCqVQLkePdmSb//2Dlh+OD+4Qs9K+hpwam&#10;Iry7B/nVMwubRti9ukWErlGiosB5pCzrnC/Gr5FqX/gIsuveQ0VNFocACaivsY2sUJ2M0KkBpzPp&#10;qg9M0uNymc9eLjiTZMqXV7N8kSKI4vGzQx/eKmhZFEqO1NMELo73PsRkRPHoEmN5MLraamOSgvvd&#10;xiA7Cur/Np0R/Sc3Y1lHmSxmi6H+v0JM0/kTRKsDDbLRbcmvz06iiKy9sVUasyC0GWRK2diRxsjc&#10;wGHodz3T1chxZHUH1Yl4RRjmlvaMhAbwO2cdzWzJ/beDQMWZeWepN8t8Po9DnpT54tWMFLy07C4t&#10;wkqCKnngbBA3YViMg0O9byjSMA0WbqmftU5cP2U1pk9zmVow7lAc/Es9eT1t+voHAAAA//8DAFBL&#10;AwQUAAYACAAAACEAT+G62+MAAAANAQAADwAAAGRycy9kb3ducmV2LnhtbEyPT0/DMAzF70h8h8hI&#10;XNCWritl65pOCAQaN9gQXLPGayvypyRZV7493gkulq1n//xeuR6NZgP60DkrYDZNgKGtnepsI+B9&#10;9zRZAAtRWiW1syjgBwOsq8uLUhbKnewbDtvYMILYUEgBbYx9wXmoWzQyTF2PlrSD80ZGGn3DlZcn&#10;ghvN0yTJuZGdpQ+t7PGhxfprezQCFtlm+Awv89ePOj/oZby5G56/vRDXV+Pjisr9CljEMf5dwDkD&#10;+YeKjO3d0arANIFmtChgOc+BneU8S4HtqUmzW+BVyf+nqH4BAAD//wMAUEsBAi0AFAAGAAgAAAAh&#10;ALaDOJL+AAAA4QEAABMAAAAAAAAAAAAAAAAAAAAAAFtDb250ZW50X1R5cGVzXS54bWxQSwECLQAU&#10;AAYACAAAACEAOP0h/9YAAACUAQAACwAAAAAAAAAAAAAAAAAvAQAAX3JlbHMvLnJlbHNQSwECLQAU&#10;AAYACAAAACEAjfHU2RgCAAAxBAAADgAAAAAAAAAAAAAAAAAuAgAAZHJzL2Uyb0RvYy54bWxQSwEC&#10;LQAUAAYACAAAACEAT+G62+MAAAANAQAADwAAAAAAAAAAAAAAAAByBAAAZHJzL2Rvd25yZXYueG1s&#10;UEsFBgAAAAAEAAQA8wAAAIIFAAAAAA==&#10;">
                <v:textbox>
                  <w:txbxContent>
                    <w:p w14:paraId="66E8F4B4"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Cidade da Matola</w:t>
                      </w:r>
                    </w:p>
                  </w:txbxContent>
                </v:textbox>
              </v:shape>
            </w:pict>
          </mc:Fallback>
        </mc:AlternateContent>
      </w:r>
      <w:r w:rsidRPr="0016225A">
        <w:rPr>
          <w:rFonts w:ascii="Times New Roman" w:eastAsia="Calibri" w:hAnsi="Times New Roman" w:cs="Times New Roman"/>
          <w:noProof/>
          <w:color w:val="000000"/>
          <w:kern w:val="0"/>
          <w:sz w:val="24"/>
          <w:szCs w:val="24"/>
          <w14:ligatures w14:val="none"/>
        </w:rPr>
        <mc:AlternateContent>
          <mc:Choice Requires="wps">
            <w:drawing>
              <wp:anchor distT="0" distB="0" distL="114300" distR="114300" simplePos="0" relativeHeight="251662336" behindDoc="0" locked="0" layoutInCell="1" allowOverlap="1" wp14:anchorId="19E1E99F" wp14:editId="72163544">
                <wp:simplePos x="0" y="0"/>
                <wp:positionH relativeFrom="column">
                  <wp:posOffset>2597150</wp:posOffset>
                </wp:positionH>
                <wp:positionV relativeFrom="paragraph">
                  <wp:posOffset>-14605</wp:posOffset>
                </wp:positionV>
                <wp:extent cx="1183640" cy="226695"/>
                <wp:effectExtent l="6350" t="13970" r="10160" b="6985"/>
                <wp:wrapNone/>
                <wp:docPr id="1449977674" name="Caixa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640" cy="226695"/>
                        </a:xfrm>
                        <a:prstGeom prst="rect">
                          <a:avLst/>
                        </a:prstGeom>
                        <a:solidFill>
                          <a:srgbClr val="FFFFFF"/>
                        </a:solidFill>
                        <a:ln w="9525">
                          <a:solidFill>
                            <a:srgbClr val="000000"/>
                          </a:solidFill>
                          <a:miter lim="800000"/>
                          <a:headEnd/>
                          <a:tailEnd/>
                        </a:ln>
                      </wps:spPr>
                      <wps:txbx>
                        <w:txbxContent>
                          <w:p w14:paraId="3AA8190A"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Distrito de Marracuene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E1E99F" id="Caixa de texto 4" o:spid="_x0000_s1028" type="#_x0000_t202" style="position:absolute;left:0;text-align:left;margin-left:204.5pt;margin-top:-1.15pt;width:93.2pt;height:17.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KGGQIAADIEAAAOAAAAZHJzL2Uyb0RvYy54bWysU9uO2jAQfa/Uf7D8XgIUKESE1ZYtVaXt&#10;Rdr2A4zjEKuOxx0bEvr1HTtZlt5equbB8mTGZ2bOnFnfdI1hJ4Vegy34ZDTmTFkJpbaHgn/5vHux&#10;5MwHYUthwKqCn5XnN5vnz9aty9UUajClQkYg1uetK3gdgsuzzMtaNcKPwClLzgqwEYFMPGQlipbQ&#10;G5NNx+NF1gKWDkEq7+nvXe/km4RfVUqGj1XlVWCm4FRbSCemcx/PbLMW+QGFq7UcyhD/UEUjtKWk&#10;F6g7EQQ7ov4NqtESwUMVRhKaDKpKS5V6oG4m41+6eaiFU6kXIse7C03+/8HKD6cH9wlZ6F5DRwNM&#10;TXh3D/KrZxa2tbAHdYsIba1ESYknkbKsdT4fnkaqfe4jyL59DyUNWRwDJKCuwiayQn0yQqcBnC+k&#10;qy4wGVNOli8XM3JJ8k2ni8VqnlKI/PG1Qx/eKmhYvBQcaagJXZzufYjViPwxJCbzYHS508YkAw/7&#10;rUF2EiSAXfoG9J/CjGVtwVfz6bwn4K8Q4/T9CaLRgZRsdFPw5SVI5JG2N7ZMOgtCm/5OJRs78Bip&#10;60kM3b5juiQaYoJI6x7KMxGL0AuXFo0uNeB3zloSbcH9t6NAxZl5Z2k4q8ksMhmSMZu/mpKB1579&#10;tUdYSVAFD5z1123oN+PoUB9qytTLwcItDbTSieunqobySZhpBMMSReVf2ynqadU3PwAAAP//AwBQ&#10;SwMEFAAGAAgAAAAhAMi0yqvlAAAADgEAAA8AAABkcnMvZG93bnJldi54bWxMj81OwzAQhO9IvIO1&#10;SFxQ69CkpUmzqRAIVG60RXB1420S4Z9gu2l4e8wJLiuNdndmvnI9asUGcr6zBuF2mgAjU1vZmQbh&#10;bf80WQLzQRgplDWE8E0e1tXlRSkKac9mS8MuNCyaGF8IhDaEvuDc1y1p4ae2JxN3R+u0CFG6hksn&#10;ztFcKz5LkgXXojMxoRU9PbRUf+5OGmGZbYYP/5K+vteLo8rDzd3w/OUQr6/Gx1Uc9ytggcbw9wG/&#10;DLE/VLHYwZ6M9EwhZEkegQLCZJYCiwfzfJ4BOyCkaQa8Kvl/jOoHAAD//wMAUEsBAi0AFAAGAAgA&#10;AAAhALaDOJL+AAAA4QEAABMAAAAAAAAAAAAAAAAAAAAAAFtDb250ZW50X1R5cGVzXS54bWxQSwEC&#10;LQAUAAYACAAAACEAOP0h/9YAAACUAQAACwAAAAAAAAAAAAAAAAAvAQAAX3JlbHMvLnJlbHNQSwEC&#10;LQAUAAYACAAAACEA7cfyhhkCAAAyBAAADgAAAAAAAAAAAAAAAAAuAgAAZHJzL2Uyb0RvYy54bWxQ&#10;SwECLQAUAAYACAAAACEAyLTKq+UAAAAOAQAADwAAAAAAAAAAAAAAAABzBAAAZHJzL2Rvd25yZXYu&#10;eG1sUEsFBgAAAAAEAAQA8wAAAIUFAAAAAA==&#10;">
                <v:textbox>
                  <w:txbxContent>
                    <w:p w14:paraId="3AA8190A"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Distrito de Marracuene</w:t>
                      </w:r>
                    </w:p>
                  </w:txbxContent>
                </v:textbox>
              </v:shape>
            </w:pict>
          </mc:Fallback>
        </mc:AlternateContent>
      </w:r>
      <w:r w:rsidRPr="0016225A">
        <w:rPr>
          <w:rFonts w:ascii="Times New Roman" w:eastAsia="Calibri" w:hAnsi="Times New Roman" w:cs="Times New Roman"/>
          <w:noProof/>
          <w:color w:val="000000"/>
          <w:kern w:val="0"/>
          <w:sz w:val="24"/>
          <w:szCs w:val="24"/>
          <w14:ligatures w14:val="none"/>
        </w:rPr>
        <mc:AlternateContent>
          <mc:Choice Requires="wps">
            <w:drawing>
              <wp:anchor distT="0" distB="0" distL="114300" distR="114300" simplePos="0" relativeHeight="251659264" behindDoc="0" locked="0" layoutInCell="1" allowOverlap="1" wp14:anchorId="0ACC3156" wp14:editId="40D811C1">
                <wp:simplePos x="0" y="0"/>
                <wp:positionH relativeFrom="column">
                  <wp:posOffset>2253615</wp:posOffset>
                </wp:positionH>
                <wp:positionV relativeFrom="paragraph">
                  <wp:posOffset>2124075</wp:posOffset>
                </wp:positionV>
                <wp:extent cx="847725" cy="201930"/>
                <wp:effectExtent l="5715" t="9525" r="13335" b="7620"/>
                <wp:wrapNone/>
                <wp:docPr id="1545971112" name="Caixa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201930"/>
                        </a:xfrm>
                        <a:prstGeom prst="rect">
                          <a:avLst/>
                        </a:prstGeom>
                        <a:solidFill>
                          <a:srgbClr val="FFFFFF"/>
                        </a:solidFill>
                        <a:ln w="9525">
                          <a:solidFill>
                            <a:srgbClr val="000000"/>
                          </a:solidFill>
                          <a:miter lim="800000"/>
                          <a:headEnd/>
                          <a:tailEnd/>
                        </a:ln>
                      </wps:spPr>
                      <wps:txbx>
                        <w:txbxContent>
                          <w:p w14:paraId="613AFB46"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Baia de Maputo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CC3156" id="Caixa de texto 3" o:spid="_x0000_s1029" type="#_x0000_t202" style="position:absolute;left:0;text-align:left;margin-left:177.45pt;margin-top:167.25pt;width:66.75pt;height:1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waKGAIAADEEAAAOAAAAZHJzL2Uyb0RvYy54bWysU8tu2zAQvBfoPxC817Idu44Fy0Hq1EWB&#10;9AGk/QCKoiyiFJdd0pbcr8+SchwjLXooqgPB1ZKzszPL1U3fGnZQ6DXYgk9GY86UlVBpuyv492/b&#10;N9ec+SBsJQxYVfCj8vxm/frVqnO5mkIDplLICMT6vHMFb0JweZZ52ahW+BE4ZSlZA7YiUIi7rELR&#10;EXprsul4/DbrACuHIJX39PduSPJ1wq9rJcOXuvYqMFNw4hbSimkt45qtVyLfoXCNlica4h9YtEJb&#10;KnqGuhNBsD3q36BaLRE81GEkoc2grrVUqQfqZjJ+0c1DI5xKvZA43p1l8v8PVn4+PLivyEL/Dnoy&#10;MDXh3T3IH55Z2DTC7tQtInSNEhUVnkTJss75/HQ1Su1zH0HK7hNUZLLYB0hAfY1tVIX6ZIROBhzP&#10;oqs+MEk/r2eLxXTOmaQUabC8SqZkIn+67NCHDwpaFjcFR/I0gYvDvQ+RjMifjsRaHoyuttqYFOCu&#10;3BhkB0H+b9OX+L84ZizrCr6cE4+/Q4zT9yeIVgcaZKNb6uh8SORRtfe2SmMWhDbDnigbe5IxKjdo&#10;GPqyZ7oq+FUsEFUtoTqSrgjD3NI7o00D+Iuzjma24P7nXqDizHy05M1yMpvFIU/BbL6YUoCXmfIy&#10;I6wkqIIHzobtJgwPY+9Q7xqqNEyDhVvys9ZJ62dWJ/o0l8mC0xuKg38Zp1PPL339CAAA//8DAFBL&#10;AwQUAAYACAAAACEACARBjeMAAAAQAQAADwAAAGRycy9kb3ducmV2LnhtbExPyU7DMBC9I/EP1iBx&#10;Qa0DSUOaxqkQCFRu0CK4uvE0ifASbDcNf89wgstoljdvqdaT0WxEH3pnBVzPE2BoG6d62wp42z3O&#10;CmAhSqukdhYFfGOAdX1+VslSuZN9xXEbW0YkNpRSQBfjUHIemg6NDHM3oKXbwXkjI42+5crLE5Eb&#10;zW+SJOdG9pYUOjngfYfN5/ZoBBTZZvwIz+nLe5Mf9DJe3Y5PX16Iy4vpYUXlbgUs4hT/PuA3A/mH&#10;mozt3dGqwLSAdJEtCUpNmi2AESIrigzYnjZ5ngKvK/4/SP0DAAD//wMAUEsBAi0AFAAGAAgAAAAh&#10;ALaDOJL+AAAA4QEAABMAAAAAAAAAAAAAAAAAAAAAAFtDb250ZW50X1R5cGVzXS54bWxQSwECLQAU&#10;AAYACAAAACEAOP0h/9YAAACUAQAACwAAAAAAAAAAAAAAAAAvAQAAX3JlbHMvLnJlbHNQSwECLQAU&#10;AAYACAAAACEACpMGihgCAAAxBAAADgAAAAAAAAAAAAAAAAAuAgAAZHJzL2Uyb0RvYy54bWxQSwEC&#10;LQAUAAYACAAAACEACARBjeMAAAAQAQAADwAAAAAAAAAAAAAAAAByBAAAZHJzL2Rvd25yZXYueG1s&#10;UEsFBgAAAAAEAAQA8wAAAIIFAAAAAA==&#10;">
                <v:textbox>
                  <w:txbxContent>
                    <w:p w14:paraId="613AFB46" w14:textId="77777777" w:rsidR="0016225A" w:rsidRPr="00B701E3" w:rsidRDefault="0016225A" w:rsidP="0016225A">
                      <w:pPr>
                        <w:rPr>
                          <w:rFonts w:ascii="Times New Roman" w:hAnsi="Times New Roman"/>
                          <w:sz w:val="16"/>
                          <w:szCs w:val="16"/>
                        </w:rPr>
                      </w:pPr>
                      <w:r w:rsidRPr="00B701E3">
                        <w:rPr>
                          <w:rFonts w:ascii="Times New Roman" w:hAnsi="Times New Roman"/>
                          <w:sz w:val="16"/>
                          <w:szCs w:val="16"/>
                        </w:rPr>
                        <w:t>Baia de Maputo</w:t>
                      </w:r>
                    </w:p>
                  </w:txbxContent>
                </v:textbox>
              </v:shape>
            </w:pict>
          </mc:Fallback>
        </mc:AlternateContent>
      </w:r>
      <w:bookmarkStart w:id="6" w:name="_Hlk163647538"/>
      <w:r w:rsidRPr="0016225A">
        <w:rPr>
          <w:rFonts w:ascii="Calibri" w:eastAsia="Calibri" w:hAnsi="Calibri" w:cs="Times New Roman"/>
          <w:noProof/>
          <w:kern w:val="0"/>
          <w:sz w:val="20"/>
          <w14:ligatures w14:val="none"/>
        </w:rPr>
        <w:drawing>
          <wp:inline distT="0" distB="0" distL="0" distR="0" wp14:anchorId="41460E94" wp14:editId="0313C118">
            <wp:extent cx="5700395" cy="2402731"/>
            <wp:effectExtent l="0" t="0" r="1905" b="0"/>
            <wp:docPr id="107368390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12" cstate="print">
                      <a:extLst>
                        <a:ext uri="{28A0092B-C50C-407E-A947-70E740481C1C}">
                          <a14:useLocalDpi xmlns:a14="http://schemas.microsoft.com/office/drawing/2010/main" val="0"/>
                        </a:ext>
                      </a:extLst>
                    </a:blip>
                    <a:srcRect t="10413" b="23744"/>
                    <a:stretch>
                      <a:fillRect/>
                    </a:stretch>
                  </pic:blipFill>
                  <pic:spPr bwMode="auto">
                    <a:xfrm>
                      <a:off x="0" y="0"/>
                      <a:ext cx="5755406" cy="2425918"/>
                    </a:xfrm>
                    <a:prstGeom prst="rect">
                      <a:avLst/>
                    </a:prstGeom>
                    <a:noFill/>
                    <a:ln>
                      <a:noFill/>
                    </a:ln>
                  </pic:spPr>
                </pic:pic>
              </a:graphicData>
            </a:graphic>
          </wp:inline>
        </w:drawing>
      </w:r>
      <w:bookmarkEnd w:id="6"/>
    </w:p>
    <w:tbl>
      <w:tblPr>
        <w:tblW w:w="0" w:type="auto"/>
        <w:tblLook w:val="04A0" w:firstRow="1" w:lastRow="0" w:firstColumn="1" w:lastColumn="0" w:noHBand="0" w:noVBand="1"/>
      </w:tblPr>
      <w:tblGrid>
        <w:gridCol w:w="4316"/>
      </w:tblGrid>
      <w:tr w:rsidR="00CD40F6" w:rsidRPr="0016225A" w14:paraId="12D58ECD" w14:textId="77777777" w:rsidTr="00CD40F6">
        <w:trPr>
          <w:trHeight w:val="549"/>
        </w:trPr>
        <w:tc>
          <w:tcPr>
            <w:tcW w:w="4316" w:type="dxa"/>
            <w:shd w:val="clear" w:color="auto" w:fill="auto"/>
          </w:tcPr>
          <w:p w14:paraId="6E497334" w14:textId="4CB17D95" w:rsidR="00CD40F6" w:rsidRPr="0016225A" w:rsidRDefault="003426A2" w:rsidP="0016225A">
            <w:pPr>
              <w:spacing w:line="240" w:lineRule="auto"/>
              <w:jc w:val="both"/>
              <w:rPr>
                <w:rFonts w:ascii="Times New Roman" w:eastAsia="Calibri" w:hAnsi="Times New Roman" w:cs="Times New Roman"/>
                <w:color w:val="000000"/>
                <w:kern w:val="0"/>
                <w:sz w:val="16"/>
                <w:szCs w:val="16"/>
                <w:lang w:val="pt-PT"/>
                <w14:ligatures w14:val="none"/>
              </w:rPr>
            </w:pPr>
            <w:r>
              <w:rPr>
                <w:rFonts w:ascii="Times New Roman" w:eastAsia="Calibri" w:hAnsi="Times New Roman" w:cs="Times New Roman"/>
                <w:color w:val="000000"/>
                <w:kern w:val="0"/>
                <w:sz w:val="16"/>
                <w:szCs w:val="16"/>
                <w:lang w:val="pt-PT"/>
                <w14:ligatures w14:val="none"/>
              </w:rPr>
              <w:lastRenderedPageBreak/>
              <w:t xml:space="preserve">Extraído de </w:t>
            </w:r>
            <w:r w:rsidR="00CD40F6" w:rsidRPr="0016225A">
              <w:rPr>
                <w:rFonts w:ascii="Times New Roman" w:eastAsia="Calibri" w:hAnsi="Times New Roman" w:cs="Times New Roman"/>
                <w:color w:val="000000"/>
                <w:kern w:val="0"/>
                <w:sz w:val="16"/>
                <w:szCs w:val="16"/>
                <w:lang w:val="pt-PT"/>
                <w14:ligatures w14:val="none"/>
              </w:rPr>
              <w:t>Manuel Araujo (1999. p. 178)</w:t>
            </w:r>
          </w:p>
        </w:tc>
      </w:tr>
    </w:tbl>
    <w:p w14:paraId="25D3FA28" w14:textId="77777777" w:rsidR="0016225A" w:rsidRPr="0016225A" w:rsidRDefault="0016225A" w:rsidP="0016225A">
      <w:pPr>
        <w:tabs>
          <w:tab w:val="left" w:pos="3990"/>
        </w:tabs>
        <w:spacing w:line="360" w:lineRule="auto"/>
        <w:jc w:val="both"/>
        <w:rPr>
          <w:rFonts w:ascii="Times New Roman" w:eastAsia="Calibri" w:hAnsi="Times New Roman" w:cs="Times New Roman"/>
          <w:color w:val="000000"/>
          <w:kern w:val="0"/>
          <w:sz w:val="24"/>
          <w:szCs w:val="24"/>
          <w:lang w:val="pt-PT"/>
          <w14:ligatures w14:val="none"/>
        </w:rPr>
      </w:pPr>
      <w:r w:rsidRPr="0016225A">
        <w:rPr>
          <w:rFonts w:ascii="Times New Roman" w:eastAsia="Calibri" w:hAnsi="Times New Roman" w:cs="Times New Roman"/>
          <w:color w:val="000000"/>
          <w:kern w:val="0"/>
          <w:sz w:val="24"/>
          <w:szCs w:val="24"/>
          <w:lang w:val="pt-PT"/>
          <w14:ligatures w14:val="none"/>
        </w:rPr>
        <w:tab/>
      </w:r>
    </w:p>
    <w:p w14:paraId="5030A666" w14:textId="77777777" w:rsidR="0016225A" w:rsidRPr="0016225A" w:rsidRDefault="0016225A" w:rsidP="0016225A">
      <w:pPr>
        <w:spacing w:line="360" w:lineRule="auto"/>
        <w:jc w:val="both"/>
        <w:rPr>
          <w:rFonts w:ascii="Times New Roman" w:eastAsia="Calibri" w:hAnsi="Times New Roman" w:cs="Times New Roman"/>
          <w:color w:val="000000"/>
          <w:kern w:val="0"/>
          <w:sz w:val="24"/>
          <w:szCs w:val="24"/>
          <w:lang w:val="pt-PT"/>
          <w14:ligatures w14:val="none"/>
        </w:rPr>
      </w:pPr>
      <w:r w:rsidRPr="0016225A">
        <w:rPr>
          <w:rFonts w:ascii="Times New Roman" w:eastAsia="Calibri" w:hAnsi="Times New Roman" w:cs="Times New Roman"/>
          <w:color w:val="000000"/>
          <w:kern w:val="0"/>
          <w:sz w:val="24"/>
          <w:szCs w:val="24"/>
          <w:lang w:val="pt-PT"/>
          <w14:ligatures w14:val="none"/>
        </w:rPr>
        <w:t>Segundo o Quadro 3. População por idade- segundo província- área de residência e sexo do Instituto Nacional de Estatística (INE), a Cidade de Maputo apresenta uma população de 1.080.277 de habitantes. Destes, 521.356 são homens e 558.921 são mulheres; 112.473 são crianças dos zero a quatro anos das quais 56.168 rapazes e 56.305 meninas (INE, 2017). Não foi possível apurar dados sobre crianças de cinco anos pela estruturação complexa do INE que junta esta faixa etária no intervalo de idades que vão até nove anos.</w:t>
      </w:r>
    </w:p>
    <w:p w14:paraId="756C7709" w14:textId="77777777" w:rsidR="0016225A" w:rsidRPr="00CD40F6" w:rsidRDefault="0016225A" w:rsidP="0016225A">
      <w:pPr>
        <w:spacing w:line="360" w:lineRule="auto"/>
        <w:jc w:val="both"/>
        <w:rPr>
          <w:rFonts w:ascii="Times New Roman" w:eastAsia="Calibri" w:hAnsi="Times New Roman" w:cs="Times New Roman"/>
          <w:color w:val="000000"/>
          <w:kern w:val="0"/>
          <w:sz w:val="24"/>
          <w:szCs w:val="24"/>
          <w:lang w:val="pt-PT"/>
          <w14:ligatures w14:val="none"/>
        </w:rPr>
      </w:pPr>
      <w:r w:rsidRPr="0016225A">
        <w:rPr>
          <w:rFonts w:ascii="Times New Roman" w:eastAsia="Calibri" w:hAnsi="Times New Roman" w:cs="Times New Roman"/>
          <w:color w:val="000000"/>
          <w:kern w:val="0"/>
          <w:sz w:val="24"/>
          <w:szCs w:val="24"/>
          <w:lang w:val="pt-PT"/>
          <w14:ligatures w14:val="none"/>
        </w:rPr>
        <w:t xml:space="preserve">O Mapeamento feito pelo Ministério do Género, Criança e Acção Social em 2020, indica que em termos de instituições de Educação de Infância, a cidade conta com 168 Centros Infantis e </w:t>
      </w:r>
      <w:r w:rsidRPr="00CD40F6">
        <w:rPr>
          <w:rFonts w:ascii="Times New Roman" w:eastAsia="Calibri" w:hAnsi="Times New Roman" w:cs="Times New Roman"/>
          <w:color w:val="000000"/>
          <w:kern w:val="0"/>
          <w:sz w:val="24"/>
          <w:szCs w:val="24"/>
          <w:lang w:val="pt-PT"/>
          <w14:ligatures w14:val="none"/>
        </w:rPr>
        <w:t>72 Escolinhas Comunitárias.</w:t>
      </w:r>
    </w:p>
    <w:p w14:paraId="4748F236" w14:textId="535CDB67" w:rsidR="00CF2AB7" w:rsidRPr="008353C1" w:rsidRDefault="006A3849" w:rsidP="008353C1">
      <w:pPr>
        <w:spacing w:after="200" w:line="360" w:lineRule="auto"/>
        <w:jc w:val="both"/>
        <w:rPr>
          <w:rFonts w:ascii="Times New Roman" w:eastAsia="Calibri" w:hAnsi="Times New Roman" w:cs="Times New Roman"/>
          <w:color w:val="000000"/>
          <w:kern w:val="0"/>
          <w:sz w:val="24"/>
          <w:szCs w:val="24"/>
          <w:lang w:val="pt-PT"/>
          <w14:ligatures w14:val="none"/>
        </w:rPr>
      </w:pPr>
      <w:r w:rsidRPr="00CD40F6">
        <w:rPr>
          <w:rFonts w:ascii="Times New Roman" w:eastAsia="Calibri" w:hAnsi="Times New Roman" w:cs="Times New Roman"/>
          <w:color w:val="000000"/>
          <w:kern w:val="0"/>
          <w:sz w:val="24"/>
          <w:szCs w:val="24"/>
          <w:lang w:val="pt-PT"/>
          <w14:ligatures w14:val="none"/>
        </w:rPr>
        <w:t>O estudo quanto à abordagem recorreu à qualitativa e pesquisa de campo quanto aos procedimentos, recorrendo também ao estudo de casos múltiplos. Quanto aos objectivos a pesquisa tomou a característica descritiva para melhor fazer face às reflexões preconizadas. A</w:t>
      </w:r>
      <w:r w:rsidRPr="006A3849">
        <w:rPr>
          <w:rFonts w:ascii="Times New Roman" w:eastAsia="Calibri" w:hAnsi="Times New Roman" w:cs="Times New Roman"/>
          <w:color w:val="000000"/>
          <w:kern w:val="0"/>
          <w:sz w:val="24"/>
          <w:szCs w:val="24"/>
          <w:lang w:val="pt-PT"/>
          <w14:ligatures w14:val="none"/>
        </w:rPr>
        <w:t xml:space="preserve"> abordagem qualitativa foi indicada, no sentido de auxiliar na análise das práticas educativas na infância e sua participação na promoção da igualdade e equidade de género, através das vivências profissionais dos gestores/as e educadoras/res de infância no seu trabalho quotidiano com as crianças.</w:t>
      </w:r>
      <w:r w:rsidR="0075213B">
        <w:rPr>
          <w:rFonts w:ascii="Times New Roman" w:eastAsia="Calibri" w:hAnsi="Times New Roman" w:cs="Times New Roman"/>
          <w:color w:val="000000"/>
          <w:kern w:val="0"/>
          <w:sz w:val="24"/>
          <w:szCs w:val="24"/>
          <w:lang w:val="pt-PT"/>
          <w14:ligatures w14:val="none"/>
        </w:rPr>
        <w:t xml:space="preserve"> O</w:t>
      </w:r>
      <w:r w:rsidRPr="006A3849">
        <w:rPr>
          <w:rFonts w:ascii="Times New Roman" w:eastAsia="Calibri" w:hAnsi="Times New Roman" w:cs="Times New Roman"/>
          <w:color w:val="000000"/>
          <w:kern w:val="0"/>
          <w:sz w:val="24"/>
          <w:szCs w:val="24"/>
          <w:lang w:val="pt-PT"/>
          <w14:ligatures w14:val="none"/>
        </w:rPr>
        <w:t xml:space="preserve"> estudo</w:t>
      </w:r>
      <w:r w:rsidR="0075213B">
        <w:rPr>
          <w:rFonts w:ascii="Times New Roman" w:eastAsia="Calibri" w:hAnsi="Times New Roman" w:cs="Times New Roman"/>
          <w:color w:val="000000"/>
          <w:kern w:val="0"/>
          <w:sz w:val="24"/>
          <w:szCs w:val="24"/>
          <w:lang w:val="pt-PT"/>
          <w14:ligatures w14:val="none"/>
        </w:rPr>
        <w:t xml:space="preserve"> foi</w:t>
      </w:r>
      <w:r w:rsidRPr="006A3849">
        <w:rPr>
          <w:rFonts w:ascii="Times New Roman" w:eastAsia="Calibri" w:hAnsi="Times New Roman" w:cs="Times New Roman"/>
          <w:color w:val="000000"/>
          <w:kern w:val="0"/>
          <w:sz w:val="24"/>
          <w:szCs w:val="24"/>
          <w:lang w:val="pt-PT"/>
          <w14:ligatures w14:val="none"/>
        </w:rPr>
        <w:t xml:space="preserve"> </w:t>
      </w:r>
      <w:r w:rsidR="0075213B">
        <w:rPr>
          <w:rFonts w:ascii="Times New Roman" w:eastAsia="Calibri" w:hAnsi="Times New Roman" w:cs="Times New Roman"/>
          <w:color w:val="000000"/>
          <w:kern w:val="0"/>
          <w:sz w:val="24"/>
          <w:szCs w:val="24"/>
          <w:lang w:val="pt-PT"/>
          <w14:ligatures w14:val="none"/>
        </w:rPr>
        <w:t>de</w:t>
      </w:r>
      <w:r w:rsidRPr="006A3849">
        <w:rPr>
          <w:rFonts w:ascii="Times New Roman" w:eastAsia="Calibri" w:hAnsi="Times New Roman" w:cs="Times New Roman"/>
          <w:color w:val="000000"/>
          <w:kern w:val="0"/>
          <w:sz w:val="24"/>
          <w:szCs w:val="24"/>
          <w:lang w:val="pt-PT"/>
          <w14:ligatures w14:val="none"/>
        </w:rPr>
        <w:t xml:space="preserve"> caso múltiplo já que envolve </w:t>
      </w:r>
      <w:r w:rsidR="00FB2DF6">
        <w:rPr>
          <w:rFonts w:ascii="Times New Roman" w:eastAsia="Calibri" w:hAnsi="Times New Roman" w:cs="Times New Roman"/>
          <w:color w:val="000000"/>
          <w:kern w:val="0"/>
          <w:sz w:val="24"/>
          <w:szCs w:val="24"/>
          <w:lang w:val="pt-PT"/>
          <w14:ligatures w14:val="none"/>
        </w:rPr>
        <w:t>quatro</w:t>
      </w:r>
      <w:r w:rsidRPr="006A3849">
        <w:rPr>
          <w:rFonts w:ascii="Times New Roman" w:eastAsia="Calibri" w:hAnsi="Times New Roman" w:cs="Times New Roman"/>
          <w:color w:val="000000"/>
          <w:kern w:val="0"/>
          <w:sz w:val="24"/>
          <w:szCs w:val="24"/>
          <w:lang w:val="pt-PT"/>
          <w14:ligatures w14:val="none"/>
        </w:rPr>
        <w:t xml:space="preserve"> Centros Infantis da Cidade de Maputo.</w:t>
      </w:r>
    </w:p>
    <w:p w14:paraId="01B8218D" w14:textId="6AB50744" w:rsidR="00CF2AB7" w:rsidRPr="00CF2AB7" w:rsidRDefault="00CF2AB7" w:rsidP="00527B75">
      <w:pPr>
        <w:spacing w:line="360" w:lineRule="auto"/>
        <w:jc w:val="both"/>
        <w:outlineLvl w:val="1"/>
        <w:rPr>
          <w:rFonts w:ascii="Times New Roman" w:eastAsia="Calibri" w:hAnsi="Times New Roman" w:cs="Times New Roman"/>
          <w:b/>
          <w:bCs/>
          <w:color w:val="000000"/>
          <w:kern w:val="0"/>
          <w:sz w:val="24"/>
          <w:szCs w:val="24"/>
          <w:lang w:val="pt-PT"/>
          <w14:ligatures w14:val="none"/>
        </w:rPr>
      </w:pPr>
      <w:r w:rsidRPr="00CF2AB7">
        <w:rPr>
          <w:rFonts w:ascii="Times New Roman" w:eastAsia="Calibri" w:hAnsi="Times New Roman" w:cs="Times New Roman"/>
          <w:b/>
          <w:bCs/>
          <w:color w:val="000000"/>
          <w:kern w:val="0"/>
          <w:sz w:val="24"/>
          <w:szCs w:val="24"/>
          <w:lang w:val="pt-PT"/>
          <w14:ligatures w14:val="none"/>
        </w:rPr>
        <w:t>Participantes do estudo</w:t>
      </w:r>
      <w:r>
        <w:rPr>
          <w:rFonts w:ascii="Times New Roman" w:eastAsia="Calibri" w:hAnsi="Times New Roman" w:cs="Times New Roman"/>
          <w:b/>
          <w:bCs/>
          <w:color w:val="000000"/>
          <w:kern w:val="0"/>
          <w:sz w:val="24"/>
          <w:szCs w:val="24"/>
          <w:lang w:val="pt-PT"/>
          <w14:ligatures w14:val="none"/>
        </w:rPr>
        <w:t xml:space="preserve"> e </w:t>
      </w:r>
      <w:r w:rsidR="00CD40F6">
        <w:rPr>
          <w:rFonts w:ascii="Times New Roman" w:eastAsia="Calibri" w:hAnsi="Times New Roman" w:cs="Times New Roman"/>
          <w:b/>
          <w:bCs/>
          <w:color w:val="000000"/>
          <w:kern w:val="0"/>
          <w:sz w:val="24"/>
          <w:szCs w:val="24"/>
          <w:lang w:val="pt-PT"/>
          <w14:ligatures w14:val="none"/>
        </w:rPr>
        <w:t xml:space="preserve">técnicas </w:t>
      </w:r>
      <w:r>
        <w:rPr>
          <w:rFonts w:ascii="Times New Roman" w:eastAsia="Calibri" w:hAnsi="Times New Roman" w:cs="Times New Roman"/>
          <w:b/>
          <w:bCs/>
          <w:color w:val="000000"/>
          <w:kern w:val="0"/>
          <w:sz w:val="24"/>
          <w:szCs w:val="24"/>
          <w:lang w:val="pt-PT"/>
          <w14:ligatures w14:val="none"/>
        </w:rPr>
        <w:t>de recolha de dados</w:t>
      </w:r>
    </w:p>
    <w:p w14:paraId="577DBF2D" w14:textId="64C1E699" w:rsidR="00CF2AB7" w:rsidRPr="00CF2AB7" w:rsidRDefault="00CF2AB7" w:rsidP="00CF2AB7">
      <w:pPr>
        <w:spacing w:after="200" w:line="360" w:lineRule="auto"/>
        <w:jc w:val="both"/>
        <w:rPr>
          <w:rFonts w:ascii="Times New Roman" w:eastAsia="Calibri" w:hAnsi="Times New Roman" w:cs="Times New Roman"/>
          <w:color w:val="000000"/>
          <w:kern w:val="0"/>
          <w:sz w:val="24"/>
          <w:szCs w:val="24"/>
          <w:lang w:val="pt-PT"/>
          <w14:ligatures w14:val="none"/>
        </w:rPr>
      </w:pPr>
      <w:r w:rsidRPr="00CF2AB7">
        <w:rPr>
          <w:rFonts w:ascii="Times New Roman" w:eastAsia="Calibri" w:hAnsi="Times New Roman" w:cs="Times New Roman"/>
          <w:color w:val="000000"/>
          <w:kern w:val="0"/>
          <w:sz w:val="24"/>
          <w:szCs w:val="24"/>
          <w:lang w:val="pt-PT"/>
          <w14:ligatures w14:val="none"/>
        </w:rPr>
        <w:t xml:space="preserve">Participantes deste estudo são gestoras dos </w:t>
      </w:r>
      <w:r>
        <w:rPr>
          <w:rFonts w:ascii="Times New Roman" w:eastAsia="Calibri" w:hAnsi="Times New Roman" w:cs="Times New Roman"/>
          <w:color w:val="000000"/>
          <w:kern w:val="0"/>
          <w:sz w:val="24"/>
          <w:szCs w:val="24"/>
          <w:lang w:val="pt-PT"/>
          <w14:ligatures w14:val="none"/>
        </w:rPr>
        <w:t>quatro</w:t>
      </w:r>
      <w:r w:rsidRPr="00CF2AB7">
        <w:rPr>
          <w:rFonts w:ascii="Times New Roman" w:eastAsia="Calibri" w:hAnsi="Times New Roman" w:cs="Times New Roman"/>
          <w:color w:val="000000"/>
          <w:kern w:val="0"/>
          <w:sz w:val="24"/>
          <w:szCs w:val="24"/>
          <w:lang w:val="pt-PT"/>
          <w14:ligatures w14:val="none"/>
        </w:rPr>
        <w:t xml:space="preserve"> Centros Infantis dos 168 Centros Infantis da Cidade de Maputo. Os centros foram arrolados por acessibilidade sendo dois públicos localizados, conforme ilustra o mapa acima, um em zona Urbana e outro na zona, ainda que seja Urbana, mas em fronteira com a Suburbana. Dois privados</w:t>
      </w:r>
      <w:r>
        <w:rPr>
          <w:rFonts w:ascii="Times New Roman" w:eastAsia="Calibri" w:hAnsi="Times New Roman" w:cs="Times New Roman"/>
          <w:color w:val="000000"/>
          <w:kern w:val="0"/>
          <w:sz w:val="24"/>
          <w:szCs w:val="24"/>
          <w:lang w:val="pt-PT"/>
          <w14:ligatures w14:val="none"/>
        </w:rPr>
        <w:t>,</w:t>
      </w:r>
      <w:r w:rsidRPr="00CF2AB7">
        <w:rPr>
          <w:rFonts w:ascii="Times New Roman" w:eastAsia="Calibri" w:hAnsi="Times New Roman" w:cs="Times New Roman"/>
          <w:color w:val="000000"/>
          <w:kern w:val="0"/>
          <w:sz w:val="24"/>
          <w:szCs w:val="24"/>
          <w:lang w:val="pt-PT"/>
          <w14:ligatures w14:val="none"/>
        </w:rPr>
        <w:t xml:space="preserve"> um em zona Urbana e outro na zona Periurbana.</w:t>
      </w:r>
      <w:r>
        <w:rPr>
          <w:rFonts w:ascii="Times New Roman" w:eastAsia="Calibri" w:hAnsi="Times New Roman" w:cs="Times New Roman"/>
          <w:color w:val="000000"/>
          <w:kern w:val="0"/>
          <w:sz w:val="24"/>
          <w:szCs w:val="24"/>
          <w:lang w:val="pt-PT"/>
          <w14:ligatures w14:val="none"/>
        </w:rPr>
        <w:t xml:space="preserve"> </w:t>
      </w:r>
      <w:r w:rsidRPr="00CF2AB7">
        <w:rPr>
          <w:rFonts w:ascii="Times New Roman" w:eastAsia="Calibri" w:hAnsi="Times New Roman" w:cs="Times New Roman"/>
          <w:color w:val="000000"/>
          <w:kern w:val="0"/>
          <w:sz w:val="24"/>
          <w:szCs w:val="24"/>
          <w:lang w:val="pt-PT"/>
          <w14:ligatures w14:val="none"/>
        </w:rPr>
        <w:t xml:space="preserve">Nos Centros Infantis foi administrada a entrevista semiestruturada a </w:t>
      </w:r>
      <w:r>
        <w:rPr>
          <w:rFonts w:ascii="Times New Roman" w:eastAsia="Calibri" w:hAnsi="Times New Roman" w:cs="Times New Roman"/>
          <w:color w:val="000000"/>
          <w:kern w:val="0"/>
          <w:sz w:val="24"/>
          <w:szCs w:val="24"/>
          <w:lang w:val="pt-PT"/>
          <w14:ligatures w14:val="none"/>
        </w:rPr>
        <w:t>Oito</w:t>
      </w:r>
      <w:r w:rsidRPr="00CF2AB7">
        <w:rPr>
          <w:rFonts w:ascii="Times New Roman" w:eastAsia="Calibri" w:hAnsi="Times New Roman" w:cs="Times New Roman"/>
          <w:color w:val="000000"/>
          <w:kern w:val="0"/>
          <w:sz w:val="24"/>
          <w:szCs w:val="24"/>
          <w:lang w:val="pt-PT"/>
          <w14:ligatures w14:val="none"/>
        </w:rPr>
        <w:t xml:space="preserve"> gestoras que obedeceram aos critérios de participação</w:t>
      </w:r>
      <w:r w:rsidR="00CD40F6">
        <w:rPr>
          <w:rFonts w:ascii="Times New Roman" w:eastAsia="Calibri" w:hAnsi="Times New Roman" w:cs="Times New Roman"/>
          <w:color w:val="000000"/>
          <w:kern w:val="0"/>
          <w:sz w:val="24"/>
          <w:szCs w:val="24"/>
          <w:lang w:val="pt-PT"/>
          <w14:ligatures w14:val="none"/>
        </w:rPr>
        <w:t xml:space="preserve"> e também se realizou a observação.</w:t>
      </w:r>
    </w:p>
    <w:p w14:paraId="3F16AE34" w14:textId="77777777" w:rsidR="008C6CAE" w:rsidRPr="00094E74" w:rsidRDefault="008C6CAE" w:rsidP="008C6CAE">
      <w:pPr>
        <w:spacing w:line="360" w:lineRule="auto"/>
        <w:jc w:val="both"/>
        <w:rPr>
          <w:rFonts w:ascii="Times New Roman" w:hAnsi="Times New Roman" w:cs="Times New Roman"/>
          <w:b/>
          <w:bCs/>
          <w:sz w:val="24"/>
          <w:szCs w:val="24"/>
          <w:lang w:val="pt-PT"/>
        </w:rPr>
      </w:pPr>
      <w:r w:rsidRPr="00094E74">
        <w:rPr>
          <w:rFonts w:ascii="Times New Roman" w:hAnsi="Times New Roman" w:cs="Times New Roman"/>
          <w:b/>
          <w:bCs/>
          <w:sz w:val="24"/>
          <w:szCs w:val="24"/>
          <w:lang w:val="pt-PT"/>
        </w:rPr>
        <w:t>Análise de dados</w:t>
      </w:r>
    </w:p>
    <w:p w14:paraId="11FF3FDA" w14:textId="2C59F029" w:rsidR="008C6CAE" w:rsidRDefault="008C6CAE" w:rsidP="008C6CAE">
      <w:pPr>
        <w:spacing w:line="360" w:lineRule="auto"/>
        <w:jc w:val="both"/>
        <w:rPr>
          <w:rFonts w:ascii="Times New Roman" w:hAnsi="Times New Roman"/>
          <w:color w:val="000000"/>
          <w:sz w:val="24"/>
          <w:szCs w:val="24"/>
          <w:lang w:val="pt-PT"/>
        </w:rPr>
      </w:pPr>
      <w:r w:rsidRPr="00094E74">
        <w:rPr>
          <w:rFonts w:ascii="Times New Roman" w:hAnsi="Times New Roman" w:cs="Times New Roman"/>
          <w:sz w:val="24"/>
          <w:szCs w:val="24"/>
          <w:lang w:val="pt-PT"/>
        </w:rPr>
        <w:t>Este processo foi efectuado com recurso à técnica de análise de conteúdo na perspectiva de Bardan (2011) como uma das que pode ser aplicada às pesquisas qualitativas.</w:t>
      </w:r>
      <w:r w:rsidRPr="00094E74">
        <w:rPr>
          <w:lang w:val="pt-PT"/>
        </w:rPr>
        <w:t xml:space="preserve"> E</w:t>
      </w:r>
      <w:r w:rsidRPr="00094E74">
        <w:rPr>
          <w:rFonts w:ascii="Times New Roman" w:hAnsi="Times New Roman" w:cs="Times New Roman"/>
          <w:sz w:val="24"/>
          <w:szCs w:val="24"/>
          <w:lang w:val="pt-PT"/>
        </w:rPr>
        <w:t xml:space="preserve">sta técnica envolveu três fases: a primeira é a pré-análise onde teve o contacto inicial com o material e foi </w:t>
      </w:r>
      <w:r w:rsidRPr="00094E74">
        <w:rPr>
          <w:rFonts w:ascii="Times New Roman" w:hAnsi="Times New Roman" w:cs="Times New Roman"/>
          <w:sz w:val="24"/>
          <w:szCs w:val="24"/>
          <w:lang w:val="pt-PT"/>
        </w:rPr>
        <w:lastRenderedPageBreak/>
        <w:t xml:space="preserve">organizado. </w:t>
      </w:r>
      <w:r w:rsidRPr="00094E74">
        <w:rPr>
          <w:rFonts w:ascii="Times New Roman" w:hAnsi="Times New Roman"/>
          <w:color w:val="000000"/>
          <w:sz w:val="24"/>
          <w:szCs w:val="24"/>
          <w:lang w:val="pt-PT"/>
        </w:rPr>
        <w:t xml:space="preserve">A fase definiu as directrizes que informaram sobre que material seria alvo de análise. </w:t>
      </w:r>
      <w:r w:rsidRPr="00094E74">
        <w:rPr>
          <w:rFonts w:ascii="Times New Roman" w:hAnsi="Times New Roman" w:cs="Times New Roman"/>
          <w:sz w:val="24"/>
          <w:szCs w:val="24"/>
          <w:lang w:val="pt-PT"/>
        </w:rPr>
        <w:t xml:space="preserve"> Na segunda houve a exploração do material identificando-se as partes do texto dos conteúdos por cores e as/os participantes por códigos alfanuméricos. Após esta actividade passou-se à definição de categorias e inserção de parte de texto correspondente a cada área. Na última fase </w:t>
      </w:r>
      <w:r w:rsidRPr="00094E74">
        <w:rPr>
          <w:rFonts w:ascii="Times New Roman" w:hAnsi="Times New Roman"/>
          <w:color w:val="000000"/>
          <w:sz w:val="24"/>
          <w:szCs w:val="24"/>
          <w:lang w:val="pt-PT"/>
        </w:rPr>
        <w:t>realizou-se a interpretação dos conteúdos previamente organizados, a síntese e a indicação da evidência que orienta a interpretação feita.</w:t>
      </w:r>
    </w:p>
    <w:p w14:paraId="0A0405D2" w14:textId="77777777" w:rsidR="008353C1" w:rsidRPr="008353C1" w:rsidRDefault="008353C1" w:rsidP="008C6CAE">
      <w:pPr>
        <w:spacing w:line="360" w:lineRule="auto"/>
        <w:jc w:val="both"/>
        <w:rPr>
          <w:rFonts w:ascii="Times New Roman" w:hAnsi="Times New Roman"/>
          <w:color w:val="000000"/>
          <w:sz w:val="24"/>
          <w:szCs w:val="24"/>
          <w:lang w:val="pt-PT"/>
        </w:rPr>
      </w:pPr>
    </w:p>
    <w:p w14:paraId="1A003839" w14:textId="77777777" w:rsidR="008C6CAE" w:rsidRPr="00CF2AB7" w:rsidRDefault="008C6CAE" w:rsidP="008C6CAE">
      <w:pPr>
        <w:spacing w:after="200" w:line="360" w:lineRule="auto"/>
        <w:contextualSpacing/>
        <w:jc w:val="both"/>
        <w:rPr>
          <w:rFonts w:ascii="Times New Roman" w:eastAsia="Calibri" w:hAnsi="Times New Roman" w:cs="Times New Roman"/>
          <w:b/>
          <w:bCs/>
          <w:color w:val="000000"/>
          <w:kern w:val="0"/>
          <w:sz w:val="24"/>
          <w:szCs w:val="24"/>
          <w:lang w:val="pt-PT"/>
          <w14:ligatures w14:val="none"/>
        </w:rPr>
      </w:pPr>
      <w:r w:rsidRPr="00094E74">
        <w:rPr>
          <w:rFonts w:ascii="Times New Roman" w:eastAsia="Calibri" w:hAnsi="Times New Roman" w:cs="Times New Roman"/>
          <w:b/>
          <w:bCs/>
          <w:color w:val="000000"/>
          <w:kern w:val="0"/>
          <w:sz w:val="24"/>
          <w:szCs w:val="24"/>
          <w:lang w:val="pt-PT"/>
          <w14:ligatures w14:val="none"/>
        </w:rPr>
        <w:t>Apresentação e discussão dos resultados</w:t>
      </w:r>
    </w:p>
    <w:p w14:paraId="3570CEFF" w14:textId="05483775" w:rsidR="008C6CAE" w:rsidRPr="008C6CAE" w:rsidRDefault="008C6CAE" w:rsidP="008C6CAE">
      <w:pPr>
        <w:spacing w:line="360" w:lineRule="auto"/>
        <w:jc w:val="both"/>
        <w:rPr>
          <w:rFonts w:ascii="Times New Roman" w:hAnsi="Times New Roman" w:cs="Times New Roman"/>
          <w:sz w:val="24"/>
          <w:szCs w:val="24"/>
          <w:lang w:val="pt-PT"/>
        </w:rPr>
      </w:pPr>
      <w:r w:rsidRPr="00094E74">
        <w:rPr>
          <w:rFonts w:ascii="Times New Roman" w:hAnsi="Times New Roman" w:cs="Times New Roman"/>
          <w:sz w:val="24"/>
          <w:szCs w:val="24"/>
          <w:lang w:val="pt-PT"/>
        </w:rPr>
        <w:t xml:space="preserve">As práticas </w:t>
      </w:r>
      <w:r>
        <w:rPr>
          <w:rFonts w:ascii="Times New Roman" w:hAnsi="Times New Roman" w:cs="Times New Roman"/>
          <w:sz w:val="24"/>
          <w:szCs w:val="24"/>
          <w:lang w:val="pt-PT"/>
        </w:rPr>
        <w:t xml:space="preserve">educativas </w:t>
      </w:r>
      <w:r w:rsidRPr="00094E74">
        <w:rPr>
          <w:rFonts w:ascii="Times New Roman" w:hAnsi="Times New Roman" w:cs="Times New Roman"/>
          <w:sz w:val="24"/>
          <w:szCs w:val="24"/>
          <w:lang w:val="pt-PT"/>
        </w:rPr>
        <w:t xml:space="preserve">das gestoras dos </w:t>
      </w:r>
      <w:r>
        <w:rPr>
          <w:rFonts w:ascii="Times New Roman" w:hAnsi="Times New Roman" w:cs="Times New Roman"/>
          <w:sz w:val="24"/>
          <w:szCs w:val="24"/>
          <w:lang w:val="pt-PT"/>
        </w:rPr>
        <w:t>C</w:t>
      </w:r>
      <w:r w:rsidRPr="00094E74">
        <w:rPr>
          <w:rFonts w:ascii="Times New Roman" w:hAnsi="Times New Roman" w:cs="Times New Roman"/>
          <w:sz w:val="24"/>
          <w:szCs w:val="24"/>
          <w:lang w:val="pt-PT"/>
        </w:rPr>
        <w:t xml:space="preserve">entros </w:t>
      </w:r>
      <w:r>
        <w:rPr>
          <w:rFonts w:ascii="Times New Roman" w:hAnsi="Times New Roman" w:cs="Times New Roman"/>
          <w:sz w:val="24"/>
          <w:szCs w:val="24"/>
          <w:lang w:val="pt-PT"/>
        </w:rPr>
        <w:t>I</w:t>
      </w:r>
      <w:r w:rsidRPr="00094E74">
        <w:rPr>
          <w:rFonts w:ascii="Times New Roman" w:hAnsi="Times New Roman" w:cs="Times New Roman"/>
          <w:sz w:val="24"/>
          <w:szCs w:val="24"/>
          <w:lang w:val="pt-PT"/>
        </w:rPr>
        <w:t xml:space="preserve">nfantis e a promoção da igualdade de género foi percebido através das categorias e subcategorias </w:t>
      </w:r>
      <w:r>
        <w:rPr>
          <w:rFonts w:ascii="Times New Roman" w:hAnsi="Times New Roman" w:cs="Times New Roman"/>
          <w:sz w:val="24"/>
          <w:szCs w:val="24"/>
          <w:lang w:val="pt-PT"/>
        </w:rPr>
        <w:t>que orientam</w:t>
      </w:r>
      <w:r w:rsidRPr="00094E74">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esta </w:t>
      </w:r>
      <w:r w:rsidRPr="00094E74">
        <w:rPr>
          <w:rFonts w:ascii="Times New Roman" w:hAnsi="Times New Roman" w:cs="Times New Roman"/>
          <w:sz w:val="24"/>
          <w:szCs w:val="24"/>
          <w:lang w:val="pt-PT"/>
        </w:rPr>
        <w:t xml:space="preserve">apresentação. </w:t>
      </w:r>
    </w:p>
    <w:p w14:paraId="1C7E5118" w14:textId="125F67C1" w:rsidR="00CF2AB7" w:rsidRPr="00CF2AB7" w:rsidRDefault="00CF2AB7" w:rsidP="00527B75">
      <w:pPr>
        <w:spacing w:after="0" w:line="360" w:lineRule="auto"/>
        <w:contextualSpacing/>
        <w:jc w:val="both"/>
        <w:rPr>
          <w:rFonts w:ascii="Times New Roman" w:eastAsia="Calibri" w:hAnsi="Times New Roman" w:cs="Times New Roman"/>
          <w:b/>
          <w:bCs/>
          <w:color w:val="000000"/>
          <w:kern w:val="0"/>
          <w:sz w:val="24"/>
          <w:szCs w:val="24"/>
          <w:lang w:val="pt-PT"/>
          <w14:ligatures w14:val="none"/>
        </w:rPr>
      </w:pPr>
      <w:r w:rsidRPr="00CF2AB7">
        <w:rPr>
          <w:rFonts w:ascii="Times New Roman" w:eastAsia="Calibri" w:hAnsi="Times New Roman" w:cs="Times New Roman"/>
          <w:b/>
          <w:bCs/>
          <w:color w:val="000000"/>
          <w:kern w:val="0"/>
          <w:sz w:val="24"/>
          <w:szCs w:val="24"/>
          <w:lang w:val="pt-PT"/>
          <w14:ligatures w14:val="none"/>
        </w:rPr>
        <w:t xml:space="preserve">Características Sociodemográficas das/o participante/s  </w:t>
      </w:r>
    </w:p>
    <w:p w14:paraId="43BAA65A" w14:textId="5D055DF0" w:rsidR="00CF2AB7" w:rsidRPr="00CF2AB7" w:rsidRDefault="00CF2AB7" w:rsidP="00CF2AB7">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CF2AB7">
        <w:rPr>
          <w:rFonts w:ascii="Times New Roman" w:eastAsia="Calibri" w:hAnsi="Times New Roman" w:cs="Times New Roman"/>
          <w:color w:val="000000"/>
          <w:kern w:val="0"/>
          <w:sz w:val="24"/>
          <w:szCs w:val="24"/>
          <w:lang w:val="pt-PT"/>
          <w14:ligatures w14:val="none"/>
        </w:rPr>
        <w:t xml:space="preserve">As oito gestoras dos Centros Infantis (dois públicos e dois privados) estão subdivididas em duas para cada </w:t>
      </w:r>
      <w:r w:rsidR="00701517">
        <w:rPr>
          <w:rFonts w:ascii="Times New Roman" w:eastAsia="Calibri" w:hAnsi="Times New Roman" w:cs="Times New Roman"/>
          <w:color w:val="000000"/>
          <w:kern w:val="0"/>
          <w:sz w:val="24"/>
          <w:szCs w:val="24"/>
          <w:lang w:val="pt-PT"/>
          <w14:ligatures w14:val="none"/>
        </w:rPr>
        <w:t>C</w:t>
      </w:r>
      <w:r w:rsidRPr="00CF2AB7">
        <w:rPr>
          <w:rFonts w:ascii="Times New Roman" w:eastAsia="Calibri" w:hAnsi="Times New Roman" w:cs="Times New Roman"/>
          <w:color w:val="000000"/>
          <w:kern w:val="0"/>
          <w:sz w:val="24"/>
          <w:szCs w:val="24"/>
          <w:lang w:val="pt-PT"/>
          <w14:ligatures w14:val="none"/>
        </w:rPr>
        <w:t xml:space="preserve">entro, uma gestora geral e uma pedagógica. A maior parte das gestoras tinham idades que se enquadravam na faixa etária de maiores de 40 anos de idade, excepto uma que se encontrava no intervalo dos 30-40 anos, já que se optou por trabalhar com intervalos e não idades exactas especificamente como forma de evitar possíveis constrangimentos relativas a este aspecto. </w:t>
      </w:r>
    </w:p>
    <w:p w14:paraId="6A8C9EC3" w14:textId="77777777" w:rsidR="00CF2AB7" w:rsidRPr="00CF2AB7" w:rsidRDefault="00CF2AB7" w:rsidP="00CF2AB7">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CF2AB7">
        <w:rPr>
          <w:rFonts w:ascii="Times New Roman" w:eastAsia="Calibri" w:hAnsi="Times New Roman" w:cs="Times New Roman"/>
          <w:color w:val="000000"/>
          <w:kern w:val="0"/>
          <w:sz w:val="24"/>
          <w:szCs w:val="24"/>
          <w:lang w:val="pt-PT"/>
          <w14:ligatures w14:val="none"/>
        </w:rPr>
        <w:t>Em termos de formação tem-se cinco com Licenciatura, uma em Acção Social, uma em Psicologia Social e Comunitária e com formação em Educação de Infância e três sem especificação das áreas. As restantes, uma é técnica em Educação de Infância, uma técnica Média em Acção Social e uma técnica Média em Educação de Infância. No que concerne a experiência na área de educação de infância, os anos variaram de quatro a 35 anos. Portanto, esta informação sobre a gestão dos centros demostra, além de ser totalmente feminina, gestoras já com maturidade em termos de idade e com formação significativa e experiência relevante na área de educação de infância.</w:t>
      </w:r>
    </w:p>
    <w:p w14:paraId="20412E86" w14:textId="77777777" w:rsidR="00527B75" w:rsidRPr="00CF2AB7" w:rsidRDefault="00527B75" w:rsidP="00CF2AB7">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18F0E925" w14:textId="713F8594" w:rsidR="00527B75" w:rsidRDefault="00CF2AB7" w:rsidP="00CF2AB7">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CF2AB7">
        <w:rPr>
          <w:rFonts w:ascii="Times New Roman" w:eastAsia="Calibri" w:hAnsi="Times New Roman" w:cs="Times New Roman"/>
          <w:color w:val="000000"/>
          <w:kern w:val="0"/>
          <w:sz w:val="24"/>
          <w:szCs w:val="24"/>
          <w:lang w:val="pt-PT"/>
          <w14:ligatures w14:val="none"/>
        </w:rPr>
        <w:t>Tabela</w:t>
      </w:r>
      <w:r w:rsidR="00527B75">
        <w:rPr>
          <w:rFonts w:ascii="Times New Roman" w:eastAsia="Calibri" w:hAnsi="Times New Roman" w:cs="Times New Roman"/>
          <w:color w:val="000000"/>
          <w:kern w:val="0"/>
          <w:sz w:val="24"/>
          <w:szCs w:val="24"/>
          <w:lang w:val="pt-PT"/>
          <w14:ligatures w14:val="none"/>
        </w:rPr>
        <w:t xml:space="preserve"> </w:t>
      </w:r>
      <w:r w:rsidR="00701517">
        <w:rPr>
          <w:rFonts w:ascii="Times New Roman" w:eastAsia="Calibri" w:hAnsi="Times New Roman" w:cs="Times New Roman"/>
          <w:color w:val="000000"/>
          <w:kern w:val="0"/>
          <w:sz w:val="24"/>
          <w:szCs w:val="24"/>
          <w:lang w:val="pt-PT"/>
          <w14:ligatures w14:val="none"/>
        </w:rPr>
        <w:t>1</w:t>
      </w:r>
    </w:p>
    <w:p w14:paraId="566E5AA9" w14:textId="5DF913EF" w:rsidR="00CF2AB7" w:rsidRPr="00CF2AB7" w:rsidRDefault="00527B75" w:rsidP="00CF2AB7">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Pr>
          <w:rFonts w:ascii="Times New Roman" w:eastAsia="Calibri" w:hAnsi="Times New Roman" w:cs="Times New Roman"/>
          <w:i/>
          <w:iCs/>
          <w:color w:val="000000"/>
          <w:kern w:val="0"/>
          <w:sz w:val="24"/>
          <w:szCs w:val="24"/>
          <w:lang w:val="pt-PT"/>
          <w14:ligatures w14:val="none"/>
        </w:rPr>
        <w:t xml:space="preserve">   </w:t>
      </w:r>
      <w:r w:rsidR="00CF2AB7" w:rsidRPr="00CF2AB7">
        <w:rPr>
          <w:rFonts w:ascii="Times New Roman" w:eastAsia="Calibri" w:hAnsi="Times New Roman" w:cs="Times New Roman"/>
          <w:i/>
          <w:iCs/>
          <w:color w:val="000000"/>
          <w:kern w:val="0"/>
          <w:sz w:val="24"/>
          <w:szCs w:val="24"/>
          <w:lang w:val="pt-PT"/>
          <w14:ligatures w14:val="none"/>
        </w:rPr>
        <w:t>Dados sociodemográficos das gestoras</w:t>
      </w:r>
    </w:p>
    <w:tbl>
      <w:tblPr>
        <w:tblW w:w="9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
        <w:gridCol w:w="696"/>
        <w:gridCol w:w="804"/>
        <w:gridCol w:w="2599"/>
        <w:gridCol w:w="1419"/>
        <w:gridCol w:w="1364"/>
        <w:gridCol w:w="1043"/>
      </w:tblGrid>
      <w:tr w:rsidR="00CF2AB7" w:rsidRPr="00CF2AB7" w14:paraId="1DA5D0ED"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6298FA22"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bookmarkStart w:id="7" w:name="_Hlk168659235"/>
            <w:r w:rsidRPr="00CF2AB7">
              <w:rPr>
                <w:rFonts w:ascii="Times New Roman" w:eastAsia="Calibri" w:hAnsi="Times New Roman" w:cs="Times New Roman"/>
                <w:b/>
                <w:bCs/>
                <w:kern w:val="0"/>
                <w:sz w:val="24"/>
                <w:szCs w:val="24"/>
                <w:lang w:val="pt-PT"/>
                <w14:ligatures w14:val="none"/>
              </w:rPr>
              <w:t>Código Gestora</w:t>
            </w:r>
            <w:r w:rsidRPr="00CF2AB7">
              <w:rPr>
                <w:rFonts w:ascii="Times New Roman" w:eastAsia="Calibri" w:hAnsi="Times New Roman" w:cs="Times New Roman"/>
                <w:b/>
                <w:bCs/>
                <w:kern w:val="0"/>
                <w:sz w:val="24"/>
                <w:szCs w:val="24"/>
                <w:vertAlign w:val="superscript"/>
                <w:lang w:val="pt-PT"/>
                <w14:ligatures w14:val="none"/>
              </w:rPr>
              <w:footnoteReference w:id="1"/>
            </w:r>
          </w:p>
        </w:tc>
        <w:tc>
          <w:tcPr>
            <w:tcW w:w="696" w:type="dxa"/>
            <w:tcBorders>
              <w:top w:val="single" w:sz="4" w:space="0" w:color="auto"/>
              <w:left w:val="single" w:sz="4" w:space="0" w:color="auto"/>
              <w:bottom w:val="single" w:sz="4" w:space="0" w:color="auto"/>
              <w:right w:val="single" w:sz="4" w:space="0" w:color="auto"/>
            </w:tcBorders>
            <w:hideMark/>
          </w:tcPr>
          <w:p w14:paraId="21C0C40B"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Sexo</w:t>
            </w:r>
          </w:p>
        </w:tc>
        <w:tc>
          <w:tcPr>
            <w:tcW w:w="804" w:type="dxa"/>
            <w:tcBorders>
              <w:top w:val="single" w:sz="4" w:space="0" w:color="auto"/>
              <w:left w:val="single" w:sz="4" w:space="0" w:color="auto"/>
              <w:bottom w:val="single" w:sz="4" w:space="0" w:color="auto"/>
              <w:right w:val="single" w:sz="4" w:space="0" w:color="auto"/>
            </w:tcBorders>
            <w:hideMark/>
          </w:tcPr>
          <w:p w14:paraId="7B2D9DBA"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Idade</w:t>
            </w:r>
          </w:p>
        </w:tc>
        <w:tc>
          <w:tcPr>
            <w:tcW w:w="2849" w:type="dxa"/>
            <w:tcBorders>
              <w:top w:val="single" w:sz="4" w:space="0" w:color="auto"/>
              <w:left w:val="single" w:sz="4" w:space="0" w:color="auto"/>
              <w:bottom w:val="single" w:sz="4" w:space="0" w:color="auto"/>
              <w:right w:val="single" w:sz="4" w:space="0" w:color="auto"/>
            </w:tcBorders>
            <w:hideMark/>
          </w:tcPr>
          <w:p w14:paraId="2008F091"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Formação</w:t>
            </w:r>
          </w:p>
        </w:tc>
        <w:tc>
          <w:tcPr>
            <w:tcW w:w="1448" w:type="dxa"/>
            <w:tcBorders>
              <w:top w:val="single" w:sz="4" w:space="0" w:color="auto"/>
              <w:left w:val="single" w:sz="4" w:space="0" w:color="auto"/>
              <w:bottom w:val="single" w:sz="4" w:space="0" w:color="auto"/>
              <w:right w:val="single" w:sz="4" w:space="0" w:color="auto"/>
            </w:tcBorders>
            <w:hideMark/>
          </w:tcPr>
          <w:p w14:paraId="1201B83B"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Natureza de instituição</w:t>
            </w:r>
          </w:p>
        </w:tc>
        <w:tc>
          <w:tcPr>
            <w:tcW w:w="1364" w:type="dxa"/>
            <w:tcBorders>
              <w:top w:val="single" w:sz="4" w:space="0" w:color="auto"/>
              <w:left w:val="single" w:sz="4" w:space="0" w:color="auto"/>
              <w:bottom w:val="single" w:sz="4" w:space="0" w:color="auto"/>
              <w:right w:val="single" w:sz="4" w:space="0" w:color="auto"/>
            </w:tcBorders>
            <w:hideMark/>
          </w:tcPr>
          <w:p w14:paraId="670562D5"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Código da instituição</w:t>
            </w:r>
            <w:r w:rsidRPr="00CF2AB7">
              <w:rPr>
                <w:rFonts w:ascii="Times New Roman" w:eastAsia="Calibri" w:hAnsi="Times New Roman" w:cs="Times New Roman"/>
                <w:b/>
                <w:bCs/>
                <w:kern w:val="0"/>
                <w:sz w:val="24"/>
                <w:szCs w:val="24"/>
                <w:vertAlign w:val="superscript"/>
                <w:lang w:val="pt-PT"/>
                <w14:ligatures w14:val="none"/>
              </w:rPr>
              <w:footnoteReference w:id="2"/>
            </w:r>
          </w:p>
        </w:tc>
        <w:tc>
          <w:tcPr>
            <w:tcW w:w="1043" w:type="dxa"/>
            <w:tcBorders>
              <w:top w:val="single" w:sz="4" w:space="0" w:color="auto"/>
              <w:left w:val="single" w:sz="4" w:space="0" w:color="auto"/>
              <w:bottom w:val="single" w:sz="4" w:space="0" w:color="auto"/>
              <w:right w:val="single" w:sz="4" w:space="0" w:color="auto"/>
            </w:tcBorders>
            <w:hideMark/>
          </w:tcPr>
          <w:p w14:paraId="54AD7672" w14:textId="77777777" w:rsidR="00CF2AB7" w:rsidRPr="00CF2AB7" w:rsidRDefault="00CF2AB7" w:rsidP="00CF2AB7">
            <w:pPr>
              <w:spacing w:after="0" w:line="240" w:lineRule="auto"/>
              <w:jc w:val="both"/>
              <w:rPr>
                <w:rFonts w:ascii="Times New Roman" w:eastAsia="Calibri" w:hAnsi="Times New Roman" w:cs="Times New Roman"/>
                <w:b/>
                <w:bCs/>
                <w:kern w:val="0"/>
                <w:sz w:val="24"/>
                <w:szCs w:val="24"/>
                <w:lang w:val="pt-PT"/>
                <w14:ligatures w14:val="none"/>
              </w:rPr>
            </w:pPr>
            <w:r w:rsidRPr="00CF2AB7">
              <w:rPr>
                <w:rFonts w:ascii="Times New Roman" w:eastAsia="Calibri" w:hAnsi="Times New Roman" w:cs="Times New Roman"/>
                <w:b/>
                <w:bCs/>
                <w:kern w:val="0"/>
                <w:sz w:val="24"/>
                <w:szCs w:val="24"/>
                <w:lang w:val="pt-PT"/>
                <w14:ligatures w14:val="none"/>
              </w:rPr>
              <w:t>Anos na infância</w:t>
            </w:r>
          </w:p>
        </w:tc>
      </w:tr>
      <w:tr w:rsidR="00CF2AB7" w:rsidRPr="00CF2AB7" w14:paraId="6DAD3435"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7D4CE1F2"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lastRenderedPageBreak/>
              <w:t>CI1G1</w:t>
            </w:r>
          </w:p>
        </w:tc>
        <w:tc>
          <w:tcPr>
            <w:tcW w:w="696" w:type="dxa"/>
            <w:tcBorders>
              <w:top w:val="single" w:sz="4" w:space="0" w:color="auto"/>
              <w:left w:val="single" w:sz="4" w:space="0" w:color="auto"/>
              <w:bottom w:val="single" w:sz="4" w:space="0" w:color="auto"/>
              <w:right w:val="single" w:sz="4" w:space="0" w:color="auto"/>
            </w:tcBorders>
            <w:hideMark/>
          </w:tcPr>
          <w:p w14:paraId="0984F68E"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4CF35FF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2FB50096"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Técnica Superior Acção Social</w:t>
            </w:r>
          </w:p>
        </w:tc>
        <w:tc>
          <w:tcPr>
            <w:tcW w:w="1448" w:type="dxa"/>
            <w:tcBorders>
              <w:top w:val="single" w:sz="4" w:space="0" w:color="auto"/>
              <w:left w:val="single" w:sz="4" w:space="0" w:color="auto"/>
              <w:bottom w:val="single" w:sz="4" w:space="0" w:color="auto"/>
              <w:right w:val="single" w:sz="4" w:space="0" w:color="auto"/>
            </w:tcBorders>
            <w:hideMark/>
          </w:tcPr>
          <w:p w14:paraId="4DE45860"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Pública</w:t>
            </w:r>
          </w:p>
        </w:tc>
        <w:tc>
          <w:tcPr>
            <w:tcW w:w="1364" w:type="dxa"/>
            <w:tcBorders>
              <w:top w:val="single" w:sz="4" w:space="0" w:color="auto"/>
              <w:left w:val="single" w:sz="4" w:space="0" w:color="auto"/>
              <w:bottom w:val="single" w:sz="4" w:space="0" w:color="auto"/>
              <w:right w:val="single" w:sz="4" w:space="0" w:color="auto"/>
            </w:tcBorders>
            <w:hideMark/>
          </w:tcPr>
          <w:p w14:paraId="4C1F4B91"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CI1</w:t>
            </w:r>
          </w:p>
        </w:tc>
        <w:tc>
          <w:tcPr>
            <w:tcW w:w="1043" w:type="dxa"/>
            <w:tcBorders>
              <w:top w:val="single" w:sz="4" w:space="0" w:color="auto"/>
              <w:left w:val="single" w:sz="4" w:space="0" w:color="auto"/>
              <w:bottom w:val="single" w:sz="4" w:space="0" w:color="auto"/>
              <w:right w:val="single" w:sz="4" w:space="0" w:color="auto"/>
            </w:tcBorders>
            <w:hideMark/>
          </w:tcPr>
          <w:p w14:paraId="67A2DAB5"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34</w:t>
            </w:r>
          </w:p>
        </w:tc>
      </w:tr>
      <w:tr w:rsidR="00CF2AB7" w:rsidRPr="00CF2AB7" w14:paraId="016369ED"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28B8C905"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CI1G2</w:t>
            </w:r>
          </w:p>
        </w:tc>
        <w:tc>
          <w:tcPr>
            <w:tcW w:w="696" w:type="dxa"/>
            <w:tcBorders>
              <w:top w:val="single" w:sz="4" w:space="0" w:color="auto"/>
              <w:left w:val="single" w:sz="4" w:space="0" w:color="auto"/>
              <w:bottom w:val="single" w:sz="4" w:space="0" w:color="auto"/>
              <w:right w:val="single" w:sz="4" w:space="0" w:color="auto"/>
            </w:tcBorders>
            <w:hideMark/>
          </w:tcPr>
          <w:p w14:paraId="540490B8"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4E30BCC2"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3EC6371E"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Técnica Média Acção Social</w:t>
            </w:r>
          </w:p>
        </w:tc>
        <w:tc>
          <w:tcPr>
            <w:tcW w:w="1448" w:type="dxa"/>
            <w:tcBorders>
              <w:top w:val="single" w:sz="4" w:space="0" w:color="auto"/>
              <w:left w:val="single" w:sz="4" w:space="0" w:color="auto"/>
              <w:bottom w:val="single" w:sz="4" w:space="0" w:color="auto"/>
              <w:right w:val="single" w:sz="4" w:space="0" w:color="auto"/>
            </w:tcBorders>
            <w:hideMark/>
          </w:tcPr>
          <w:p w14:paraId="553D4F2A"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Pública</w:t>
            </w:r>
          </w:p>
        </w:tc>
        <w:tc>
          <w:tcPr>
            <w:tcW w:w="1364" w:type="dxa"/>
            <w:tcBorders>
              <w:top w:val="single" w:sz="4" w:space="0" w:color="auto"/>
              <w:left w:val="single" w:sz="4" w:space="0" w:color="auto"/>
              <w:bottom w:val="single" w:sz="4" w:space="0" w:color="auto"/>
              <w:right w:val="single" w:sz="4" w:space="0" w:color="auto"/>
            </w:tcBorders>
            <w:hideMark/>
          </w:tcPr>
          <w:p w14:paraId="2C12F33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CI1</w:t>
            </w:r>
          </w:p>
        </w:tc>
        <w:tc>
          <w:tcPr>
            <w:tcW w:w="1043" w:type="dxa"/>
            <w:tcBorders>
              <w:top w:val="single" w:sz="4" w:space="0" w:color="auto"/>
              <w:left w:val="single" w:sz="4" w:space="0" w:color="auto"/>
              <w:bottom w:val="single" w:sz="4" w:space="0" w:color="auto"/>
              <w:right w:val="single" w:sz="4" w:space="0" w:color="auto"/>
            </w:tcBorders>
            <w:hideMark/>
          </w:tcPr>
          <w:p w14:paraId="6E0999EF"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13</w:t>
            </w:r>
          </w:p>
        </w:tc>
      </w:tr>
      <w:tr w:rsidR="00CF2AB7" w:rsidRPr="00CF2AB7" w14:paraId="0D60DCAA"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5DE36590"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CI2G1</w:t>
            </w:r>
          </w:p>
        </w:tc>
        <w:tc>
          <w:tcPr>
            <w:tcW w:w="696" w:type="dxa"/>
            <w:tcBorders>
              <w:top w:val="single" w:sz="4" w:space="0" w:color="auto"/>
              <w:left w:val="single" w:sz="4" w:space="0" w:color="auto"/>
              <w:bottom w:val="single" w:sz="4" w:space="0" w:color="auto"/>
              <w:right w:val="single" w:sz="4" w:space="0" w:color="auto"/>
            </w:tcBorders>
            <w:hideMark/>
          </w:tcPr>
          <w:p w14:paraId="77BC358E"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0A5F71A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0A97472B"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Licenciatura</w:t>
            </w:r>
          </w:p>
        </w:tc>
        <w:tc>
          <w:tcPr>
            <w:tcW w:w="1448" w:type="dxa"/>
            <w:tcBorders>
              <w:top w:val="single" w:sz="4" w:space="0" w:color="auto"/>
              <w:left w:val="single" w:sz="4" w:space="0" w:color="auto"/>
              <w:bottom w:val="single" w:sz="4" w:space="0" w:color="auto"/>
              <w:right w:val="single" w:sz="4" w:space="0" w:color="auto"/>
            </w:tcBorders>
            <w:hideMark/>
          </w:tcPr>
          <w:p w14:paraId="68920500"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Privada</w:t>
            </w:r>
          </w:p>
        </w:tc>
        <w:tc>
          <w:tcPr>
            <w:tcW w:w="1364" w:type="dxa"/>
            <w:tcBorders>
              <w:top w:val="single" w:sz="4" w:space="0" w:color="auto"/>
              <w:left w:val="single" w:sz="4" w:space="0" w:color="auto"/>
              <w:bottom w:val="single" w:sz="4" w:space="0" w:color="auto"/>
              <w:right w:val="single" w:sz="4" w:space="0" w:color="auto"/>
            </w:tcBorders>
            <w:hideMark/>
          </w:tcPr>
          <w:p w14:paraId="44D6BCAC"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CI2</w:t>
            </w:r>
          </w:p>
        </w:tc>
        <w:tc>
          <w:tcPr>
            <w:tcW w:w="1043" w:type="dxa"/>
            <w:tcBorders>
              <w:top w:val="single" w:sz="4" w:space="0" w:color="auto"/>
              <w:left w:val="single" w:sz="4" w:space="0" w:color="auto"/>
              <w:bottom w:val="single" w:sz="4" w:space="0" w:color="auto"/>
              <w:right w:val="single" w:sz="4" w:space="0" w:color="auto"/>
            </w:tcBorders>
            <w:hideMark/>
          </w:tcPr>
          <w:p w14:paraId="7D10ECFF"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4</w:t>
            </w:r>
          </w:p>
        </w:tc>
      </w:tr>
      <w:tr w:rsidR="00CF2AB7" w:rsidRPr="00CF2AB7" w14:paraId="3A4DDE68"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57FE1A22"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CI2G2</w:t>
            </w:r>
          </w:p>
        </w:tc>
        <w:tc>
          <w:tcPr>
            <w:tcW w:w="696" w:type="dxa"/>
            <w:tcBorders>
              <w:top w:val="single" w:sz="4" w:space="0" w:color="auto"/>
              <w:left w:val="single" w:sz="4" w:space="0" w:color="auto"/>
              <w:bottom w:val="single" w:sz="4" w:space="0" w:color="auto"/>
              <w:right w:val="single" w:sz="4" w:space="0" w:color="auto"/>
            </w:tcBorders>
            <w:hideMark/>
          </w:tcPr>
          <w:p w14:paraId="4A3D62EB"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30089FAC"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55E25C3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Licenciatura em Psicologia Social e Comunitária e Técnica em Educação de Infância</w:t>
            </w:r>
          </w:p>
        </w:tc>
        <w:tc>
          <w:tcPr>
            <w:tcW w:w="1448" w:type="dxa"/>
            <w:tcBorders>
              <w:top w:val="single" w:sz="4" w:space="0" w:color="auto"/>
              <w:left w:val="single" w:sz="4" w:space="0" w:color="auto"/>
              <w:bottom w:val="single" w:sz="4" w:space="0" w:color="auto"/>
              <w:right w:val="single" w:sz="4" w:space="0" w:color="auto"/>
            </w:tcBorders>
            <w:hideMark/>
          </w:tcPr>
          <w:p w14:paraId="67F8251C"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Privada</w:t>
            </w:r>
          </w:p>
        </w:tc>
        <w:tc>
          <w:tcPr>
            <w:tcW w:w="1364" w:type="dxa"/>
            <w:tcBorders>
              <w:top w:val="single" w:sz="4" w:space="0" w:color="auto"/>
              <w:left w:val="single" w:sz="4" w:space="0" w:color="auto"/>
              <w:bottom w:val="single" w:sz="4" w:space="0" w:color="auto"/>
              <w:right w:val="single" w:sz="4" w:space="0" w:color="auto"/>
            </w:tcBorders>
            <w:hideMark/>
          </w:tcPr>
          <w:p w14:paraId="35B4846E"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CI2</w:t>
            </w:r>
          </w:p>
        </w:tc>
        <w:tc>
          <w:tcPr>
            <w:tcW w:w="1043" w:type="dxa"/>
            <w:tcBorders>
              <w:top w:val="single" w:sz="4" w:space="0" w:color="auto"/>
              <w:left w:val="single" w:sz="4" w:space="0" w:color="auto"/>
              <w:bottom w:val="single" w:sz="4" w:space="0" w:color="auto"/>
              <w:right w:val="single" w:sz="4" w:space="0" w:color="auto"/>
            </w:tcBorders>
            <w:hideMark/>
          </w:tcPr>
          <w:p w14:paraId="694940F5"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5</w:t>
            </w:r>
          </w:p>
        </w:tc>
      </w:tr>
      <w:tr w:rsidR="00CF2AB7" w:rsidRPr="00CF2AB7" w14:paraId="2C411F70"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585A08BB"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CI3G1</w:t>
            </w:r>
          </w:p>
        </w:tc>
        <w:tc>
          <w:tcPr>
            <w:tcW w:w="696" w:type="dxa"/>
            <w:tcBorders>
              <w:top w:val="single" w:sz="4" w:space="0" w:color="auto"/>
              <w:left w:val="single" w:sz="4" w:space="0" w:color="auto"/>
              <w:bottom w:val="single" w:sz="4" w:space="0" w:color="auto"/>
              <w:right w:val="single" w:sz="4" w:space="0" w:color="auto"/>
            </w:tcBorders>
            <w:hideMark/>
          </w:tcPr>
          <w:p w14:paraId="110DDCAE"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5BD7C485"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30-40</w:t>
            </w:r>
          </w:p>
        </w:tc>
        <w:tc>
          <w:tcPr>
            <w:tcW w:w="2849" w:type="dxa"/>
            <w:tcBorders>
              <w:top w:val="single" w:sz="4" w:space="0" w:color="auto"/>
              <w:left w:val="single" w:sz="4" w:space="0" w:color="auto"/>
              <w:bottom w:val="single" w:sz="4" w:space="0" w:color="auto"/>
              <w:right w:val="single" w:sz="4" w:space="0" w:color="auto"/>
            </w:tcBorders>
            <w:hideMark/>
          </w:tcPr>
          <w:p w14:paraId="7F9AFCD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Licenciatura</w:t>
            </w:r>
          </w:p>
        </w:tc>
        <w:tc>
          <w:tcPr>
            <w:tcW w:w="1448" w:type="dxa"/>
            <w:tcBorders>
              <w:top w:val="single" w:sz="4" w:space="0" w:color="auto"/>
              <w:left w:val="single" w:sz="4" w:space="0" w:color="auto"/>
              <w:bottom w:val="single" w:sz="4" w:space="0" w:color="auto"/>
              <w:right w:val="single" w:sz="4" w:space="0" w:color="auto"/>
            </w:tcBorders>
            <w:hideMark/>
          </w:tcPr>
          <w:p w14:paraId="77E23B0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Privada</w:t>
            </w:r>
          </w:p>
        </w:tc>
        <w:tc>
          <w:tcPr>
            <w:tcW w:w="1364" w:type="dxa"/>
            <w:tcBorders>
              <w:top w:val="single" w:sz="4" w:space="0" w:color="auto"/>
              <w:left w:val="single" w:sz="4" w:space="0" w:color="auto"/>
              <w:bottom w:val="single" w:sz="4" w:space="0" w:color="auto"/>
              <w:right w:val="single" w:sz="4" w:space="0" w:color="auto"/>
            </w:tcBorders>
            <w:hideMark/>
          </w:tcPr>
          <w:p w14:paraId="3CFFC95F"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CI3</w:t>
            </w:r>
          </w:p>
        </w:tc>
        <w:tc>
          <w:tcPr>
            <w:tcW w:w="1043" w:type="dxa"/>
            <w:tcBorders>
              <w:top w:val="single" w:sz="4" w:space="0" w:color="auto"/>
              <w:left w:val="single" w:sz="4" w:space="0" w:color="auto"/>
              <w:bottom w:val="single" w:sz="4" w:space="0" w:color="auto"/>
              <w:right w:val="single" w:sz="4" w:space="0" w:color="auto"/>
            </w:tcBorders>
            <w:hideMark/>
          </w:tcPr>
          <w:p w14:paraId="3BDD1A27"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13</w:t>
            </w:r>
          </w:p>
        </w:tc>
      </w:tr>
      <w:tr w:rsidR="00CF2AB7" w:rsidRPr="00CF2AB7" w14:paraId="2DF35804"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595FDA4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CI3G2</w:t>
            </w:r>
          </w:p>
        </w:tc>
        <w:tc>
          <w:tcPr>
            <w:tcW w:w="696" w:type="dxa"/>
            <w:tcBorders>
              <w:top w:val="single" w:sz="4" w:space="0" w:color="auto"/>
              <w:left w:val="single" w:sz="4" w:space="0" w:color="auto"/>
              <w:bottom w:val="single" w:sz="4" w:space="0" w:color="auto"/>
              <w:right w:val="single" w:sz="4" w:space="0" w:color="auto"/>
            </w:tcBorders>
            <w:hideMark/>
          </w:tcPr>
          <w:p w14:paraId="4D46111D"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140B6346"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13EC30D3"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Licenciatura</w:t>
            </w:r>
          </w:p>
        </w:tc>
        <w:tc>
          <w:tcPr>
            <w:tcW w:w="1448" w:type="dxa"/>
            <w:tcBorders>
              <w:top w:val="single" w:sz="4" w:space="0" w:color="auto"/>
              <w:left w:val="single" w:sz="4" w:space="0" w:color="auto"/>
              <w:bottom w:val="single" w:sz="4" w:space="0" w:color="auto"/>
              <w:right w:val="single" w:sz="4" w:space="0" w:color="auto"/>
            </w:tcBorders>
            <w:hideMark/>
          </w:tcPr>
          <w:p w14:paraId="6719D190"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Privada</w:t>
            </w:r>
          </w:p>
        </w:tc>
        <w:tc>
          <w:tcPr>
            <w:tcW w:w="1364" w:type="dxa"/>
            <w:tcBorders>
              <w:top w:val="single" w:sz="4" w:space="0" w:color="auto"/>
              <w:left w:val="single" w:sz="4" w:space="0" w:color="auto"/>
              <w:bottom w:val="single" w:sz="4" w:space="0" w:color="auto"/>
              <w:right w:val="single" w:sz="4" w:space="0" w:color="auto"/>
            </w:tcBorders>
            <w:hideMark/>
          </w:tcPr>
          <w:p w14:paraId="6489630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CI3</w:t>
            </w:r>
          </w:p>
        </w:tc>
        <w:tc>
          <w:tcPr>
            <w:tcW w:w="1043" w:type="dxa"/>
            <w:tcBorders>
              <w:top w:val="single" w:sz="4" w:space="0" w:color="auto"/>
              <w:left w:val="single" w:sz="4" w:space="0" w:color="auto"/>
              <w:bottom w:val="single" w:sz="4" w:space="0" w:color="auto"/>
              <w:right w:val="single" w:sz="4" w:space="0" w:color="auto"/>
            </w:tcBorders>
            <w:hideMark/>
          </w:tcPr>
          <w:p w14:paraId="05A88B44"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25</w:t>
            </w:r>
          </w:p>
        </w:tc>
      </w:tr>
      <w:tr w:rsidR="00CF2AB7" w:rsidRPr="00CF2AB7" w14:paraId="1229ACED"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6B8460A6"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CI4G1</w:t>
            </w:r>
          </w:p>
        </w:tc>
        <w:tc>
          <w:tcPr>
            <w:tcW w:w="696" w:type="dxa"/>
            <w:tcBorders>
              <w:top w:val="single" w:sz="4" w:space="0" w:color="auto"/>
              <w:left w:val="single" w:sz="4" w:space="0" w:color="auto"/>
              <w:bottom w:val="single" w:sz="4" w:space="0" w:color="auto"/>
              <w:right w:val="single" w:sz="4" w:space="0" w:color="auto"/>
            </w:tcBorders>
            <w:hideMark/>
          </w:tcPr>
          <w:p w14:paraId="507CC048"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5CE96D4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02126F47"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Técnica Profissional de Educação de Infância</w:t>
            </w:r>
          </w:p>
        </w:tc>
        <w:tc>
          <w:tcPr>
            <w:tcW w:w="1448" w:type="dxa"/>
            <w:tcBorders>
              <w:top w:val="single" w:sz="4" w:space="0" w:color="auto"/>
              <w:left w:val="single" w:sz="4" w:space="0" w:color="auto"/>
              <w:bottom w:val="single" w:sz="4" w:space="0" w:color="auto"/>
              <w:right w:val="single" w:sz="4" w:space="0" w:color="auto"/>
            </w:tcBorders>
            <w:hideMark/>
          </w:tcPr>
          <w:p w14:paraId="18439D8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Pública</w:t>
            </w:r>
          </w:p>
        </w:tc>
        <w:tc>
          <w:tcPr>
            <w:tcW w:w="1364" w:type="dxa"/>
            <w:tcBorders>
              <w:top w:val="single" w:sz="4" w:space="0" w:color="auto"/>
              <w:left w:val="single" w:sz="4" w:space="0" w:color="auto"/>
              <w:bottom w:val="single" w:sz="4" w:space="0" w:color="auto"/>
              <w:right w:val="single" w:sz="4" w:space="0" w:color="auto"/>
            </w:tcBorders>
            <w:hideMark/>
          </w:tcPr>
          <w:p w14:paraId="74FF40B9"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CI4</w:t>
            </w:r>
          </w:p>
        </w:tc>
        <w:tc>
          <w:tcPr>
            <w:tcW w:w="1043" w:type="dxa"/>
            <w:tcBorders>
              <w:top w:val="single" w:sz="4" w:space="0" w:color="auto"/>
              <w:left w:val="single" w:sz="4" w:space="0" w:color="auto"/>
              <w:bottom w:val="single" w:sz="4" w:space="0" w:color="auto"/>
              <w:right w:val="single" w:sz="4" w:space="0" w:color="auto"/>
            </w:tcBorders>
            <w:hideMark/>
          </w:tcPr>
          <w:p w14:paraId="7F62F3A3"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35</w:t>
            </w:r>
          </w:p>
        </w:tc>
      </w:tr>
      <w:tr w:rsidR="00CF2AB7" w:rsidRPr="00CF2AB7" w14:paraId="50896EE3" w14:textId="77777777" w:rsidTr="00841D77">
        <w:trPr>
          <w:jc w:val="center"/>
        </w:trPr>
        <w:tc>
          <w:tcPr>
            <w:tcW w:w="831" w:type="dxa"/>
            <w:tcBorders>
              <w:top w:val="single" w:sz="4" w:space="0" w:color="auto"/>
              <w:left w:val="single" w:sz="4" w:space="0" w:color="auto"/>
              <w:bottom w:val="single" w:sz="4" w:space="0" w:color="auto"/>
              <w:right w:val="single" w:sz="4" w:space="0" w:color="auto"/>
            </w:tcBorders>
            <w:hideMark/>
          </w:tcPr>
          <w:p w14:paraId="63DBCB8C"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CI4G2</w:t>
            </w:r>
          </w:p>
        </w:tc>
        <w:tc>
          <w:tcPr>
            <w:tcW w:w="696" w:type="dxa"/>
            <w:tcBorders>
              <w:top w:val="single" w:sz="4" w:space="0" w:color="auto"/>
              <w:left w:val="single" w:sz="4" w:space="0" w:color="auto"/>
              <w:bottom w:val="single" w:sz="4" w:space="0" w:color="auto"/>
              <w:right w:val="single" w:sz="4" w:space="0" w:color="auto"/>
            </w:tcBorders>
            <w:hideMark/>
          </w:tcPr>
          <w:p w14:paraId="021CB6B2" w14:textId="77777777" w:rsidR="00CF2AB7" w:rsidRPr="00CF2AB7" w:rsidRDefault="00CF2AB7" w:rsidP="00CF2AB7">
            <w:pPr>
              <w:spacing w:after="0" w:line="240" w:lineRule="auto"/>
              <w:jc w:val="both"/>
              <w:rPr>
                <w:rFonts w:ascii="Calibri" w:eastAsia="Calibri" w:hAnsi="Calibri" w:cs="Times New Roman"/>
                <w:kern w:val="0"/>
                <w:lang w:val="pt-PT"/>
                <w14:ligatures w14:val="none"/>
              </w:rPr>
            </w:pPr>
            <w:r w:rsidRPr="00CF2AB7">
              <w:rPr>
                <w:rFonts w:ascii="Times New Roman" w:eastAsia="Calibri" w:hAnsi="Times New Roman" w:cs="Times New Roman"/>
                <w:kern w:val="0"/>
                <w:sz w:val="24"/>
                <w:szCs w:val="24"/>
                <w:lang w:val="pt-PT"/>
                <w14:ligatures w14:val="none"/>
              </w:rPr>
              <w:t>F</w:t>
            </w:r>
          </w:p>
        </w:tc>
        <w:tc>
          <w:tcPr>
            <w:tcW w:w="804" w:type="dxa"/>
            <w:tcBorders>
              <w:top w:val="single" w:sz="4" w:space="0" w:color="auto"/>
              <w:left w:val="single" w:sz="4" w:space="0" w:color="auto"/>
              <w:bottom w:val="single" w:sz="4" w:space="0" w:color="auto"/>
              <w:right w:val="single" w:sz="4" w:space="0" w:color="auto"/>
            </w:tcBorders>
            <w:hideMark/>
          </w:tcPr>
          <w:p w14:paraId="22996F4E"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Calibri" w:eastAsia="Calibri" w:hAnsi="Calibri" w:cs="Times New Roman"/>
                <w:kern w:val="0"/>
                <w:lang w:val="pt-PT"/>
                <w14:ligatures w14:val="none"/>
              </w:rPr>
              <w:t>˃40</w:t>
            </w:r>
          </w:p>
        </w:tc>
        <w:tc>
          <w:tcPr>
            <w:tcW w:w="2849" w:type="dxa"/>
            <w:tcBorders>
              <w:top w:val="single" w:sz="4" w:space="0" w:color="auto"/>
              <w:left w:val="single" w:sz="4" w:space="0" w:color="auto"/>
              <w:bottom w:val="single" w:sz="4" w:space="0" w:color="auto"/>
              <w:right w:val="single" w:sz="4" w:space="0" w:color="auto"/>
            </w:tcBorders>
            <w:hideMark/>
          </w:tcPr>
          <w:p w14:paraId="734FD65B"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Técnica Média em Educação de Infância e Licencianda</w:t>
            </w:r>
          </w:p>
        </w:tc>
        <w:tc>
          <w:tcPr>
            <w:tcW w:w="1448" w:type="dxa"/>
            <w:tcBorders>
              <w:top w:val="single" w:sz="4" w:space="0" w:color="auto"/>
              <w:left w:val="single" w:sz="4" w:space="0" w:color="auto"/>
              <w:bottom w:val="single" w:sz="4" w:space="0" w:color="auto"/>
              <w:right w:val="single" w:sz="4" w:space="0" w:color="auto"/>
            </w:tcBorders>
            <w:hideMark/>
          </w:tcPr>
          <w:p w14:paraId="58DF5BCA"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Pública</w:t>
            </w:r>
          </w:p>
        </w:tc>
        <w:tc>
          <w:tcPr>
            <w:tcW w:w="1364" w:type="dxa"/>
            <w:tcBorders>
              <w:top w:val="single" w:sz="4" w:space="0" w:color="auto"/>
              <w:left w:val="single" w:sz="4" w:space="0" w:color="auto"/>
              <w:bottom w:val="single" w:sz="4" w:space="0" w:color="auto"/>
              <w:right w:val="single" w:sz="4" w:space="0" w:color="auto"/>
            </w:tcBorders>
            <w:hideMark/>
          </w:tcPr>
          <w:p w14:paraId="0BD1429B"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CI4</w:t>
            </w:r>
          </w:p>
        </w:tc>
        <w:tc>
          <w:tcPr>
            <w:tcW w:w="1043" w:type="dxa"/>
            <w:tcBorders>
              <w:top w:val="single" w:sz="4" w:space="0" w:color="auto"/>
              <w:left w:val="single" w:sz="4" w:space="0" w:color="auto"/>
              <w:bottom w:val="single" w:sz="4" w:space="0" w:color="auto"/>
              <w:right w:val="single" w:sz="4" w:space="0" w:color="auto"/>
            </w:tcBorders>
            <w:hideMark/>
          </w:tcPr>
          <w:p w14:paraId="75F4EF33" w14:textId="77777777" w:rsidR="00CF2AB7" w:rsidRPr="00CF2AB7" w:rsidRDefault="00CF2AB7" w:rsidP="00CF2AB7">
            <w:pPr>
              <w:spacing w:after="0" w:line="240" w:lineRule="auto"/>
              <w:jc w:val="both"/>
              <w:rPr>
                <w:rFonts w:ascii="Times New Roman" w:eastAsia="Calibri" w:hAnsi="Times New Roman" w:cs="Times New Roman"/>
                <w:kern w:val="0"/>
                <w:sz w:val="24"/>
                <w:szCs w:val="24"/>
                <w:lang w:val="pt-PT"/>
                <w14:ligatures w14:val="none"/>
              </w:rPr>
            </w:pPr>
            <w:r w:rsidRPr="00CF2AB7">
              <w:rPr>
                <w:rFonts w:ascii="Times New Roman" w:eastAsia="Calibri" w:hAnsi="Times New Roman" w:cs="Times New Roman"/>
                <w:kern w:val="0"/>
                <w:sz w:val="24"/>
                <w:szCs w:val="24"/>
                <w:lang w:val="pt-PT"/>
                <w14:ligatures w14:val="none"/>
              </w:rPr>
              <w:t>10</w:t>
            </w:r>
          </w:p>
        </w:tc>
        <w:bookmarkEnd w:id="7"/>
      </w:tr>
    </w:tbl>
    <w:p w14:paraId="67EA96C3" w14:textId="4B2F3AEF" w:rsidR="00A71209" w:rsidRPr="00841D77" w:rsidRDefault="003426A2" w:rsidP="00841D77">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Pr>
          <w:rFonts w:ascii="Times New Roman" w:eastAsia="Calibri" w:hAnsi="Times New Roman" w:cs="Times New Roman"/>
          <w:color w:val="000000"/>
          <w:kern w:val="0"/>
          <w:sz w:val="24"/>
          <w:szCs w:val="24"/>
          <w:lang w:val="pt-PT"/>
          <w14:ligatures w14:val="none"/>
        </w:rPr>
        <w:t>Concebida pela</w:t>
      </w:r>
      <w:r w:rsidR="00CF2AB7" w:rsidRPr="00CF2AB7">
        <w:rPr>
          <w:rFonts w:ascii="Times New Roman" w:eastAsia="Calibri" w:hAnsi="Times New Roman" w:cs="Times New Roman"/>
          <w:color w:val="000000"/>
          <w:kern w:val="0"/>
          <w:sz w:val="24"/>
          <w:szCs w:val="24"/>
          <w:lang w:val="pt-PT"/>
          <w14:ligatures w14:val="none"/>
        </w:rPr>
        <w:t xml:space="preserve"> pesquisadora</w:t>
      </w:r>
    </w:p>
    <w:p w14:paraId="0B363C59" w14:textId="77777777" w:rsidR="0033575E" w:rsidRDefault="0033575E" w:rsidP="00FD6945">
      <w:pPr>
        <w:spacing w:after="200" w:line="360" w:lineRule="auto"/>
        <w:jc w:val="both"/>
        <w:outlineLvl w:val="2"/>
        <w:rPr>
          <w:rFonts w:ascii="Times New Roman" w:eastAsia="Calibri" w:hAnsi="Times New Roman" w:cs="Times New Roman"/>
          <w:b/>
          <w:bCs/>
          <w:color w:val="000000"/>
          <w:kern w:val="0"/>
          <w:sz w:val="24"/>
          <w:szCs w:val="24"/>
          <w:lang w:val="pt-PT"/>
          <w14:ligatures w14:val="none"/>
        </w:rPr>
      </w:pPr>
      <w:bookmarkStart w:id="9" w:name="_Hlk169778025"/>
      <w:bookmarkStart w:id="10" w:name="_Toc151120117"/>
    </w:p>
    <w:p w14:paraId="0558301F" w14:textId="3F99D784" w:rsidR="00BA4689" w:rsidRPr="00BA4689" w:rsidRDefault="00BA4689" w:rsidP="00FD6945">
      <w:pPr>
        <w:spacing w:after="200" w:line="360" w:lineRule="auto"/>
        <w:jc w:val="both"/>
        <w:outlineLvl w:val="2"/>
        <w:rPr>
          <w:rFonts w:ascii="Times New Roman" w:eastAsia="Calibri" w:hAnsi="Times New Roman" w:cs="Times New Roman"/>
          <w:b/>
          <w:bCs/>
          <w:color w:val="000000"/>
          <w:kern w:val="0"/>
          <w:sz w:val="24"/>
          <w:szCs w:val="24"/>
          <w:lang w:val="pt-PT"/>
          <w14:ligatures w14:val="none"/>
        </w:rPr>
      </w:pPr>
      <w:r w:rsidRPr="00BA4689">
        <w:rPr>
          <w:rFonts w:ascii="Times New Roman" w:eastAsia="Calibri" w:hAnsi="Times New Roman" w:cs="Times New Roman"/>
          <w:b/>
          <w:bCs/>
          <w:color w:val="000000"/>
          <w:kern w:val="0"/>
          <w:sz w:val="24"/>
          <w:szCs w:val="24"/>
          <w:lang w:val="pt-PT"/>
          <w14:ligatures w14:val="none"/>
        </w:rPr>
        <w:t>Noções de género e igualdade/equidade de género</w:t>
      </w:r>
      <w:bookmarkEnd w:id="9"/>
    </w:p>
    <w:p w14:paraId="233AD088"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A categoria das noções sobre género e equidade de género revela várias visões das participantes gestoras. Estas concepções vão desde estes conceitos serem considerados como sinónimos de direitos iguais entre homens e mulheres, incluindo a realização conjunta das tarefas domésticas, a contratação de educadoras e educadores até a análises profundas das suas vivências na infância e perceber estas questões como alívio do sofrimento passado por si ou pelas mães. Estas noções podem ser verificadas nos estratos a seguir.</w:t>
      </w:r>
    </w:p>
    <w:p w14:paraId="225EBEE2"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i/>
          <w:iCs/>
          <w:kern w:val="0"/>
          <w:sz w:val="24"/>
          <w:szCs w:val="24"/>
          <w:lang w:val="pt-PT"/>
          <w14:ligatures w14:val="none"/>
        </w:rPr>
        <w:t>“… equidade de género ou igualdade de género é porque tanto o homem, tanto a mulher todos devem ter a mesma oportunidade. Falando de uma forma geral, dantes para você ver uma senhora subir poste, diziam que esse trabalho é de quê? É dos homens, não é das mulheres, mas a mulher tudo aquilo que o homem, a mulher também... As mulheres dantes diziam que não podia chefiar, porque o cargo de chefia, mas a mulher também está lá a chefiar</w:t>
      </w:r>
      <w:r w:rsidRPr="00BA4689">
        <w:rPr>
          <w:rFonts w:ascii="Times New Roman" w:eastAsia="Calibri" w:hAnsi="Times New Roman" w:cs="Times New Roman"/>
          <w:kern w:val="0"/>
          <w:sz w:val="24"/>
          <w:szCs w:val="24"/>
          <w:lang w:val="pt-PT"/>
          <w14:ligatures w14:val="none"/>
        </w:rPr>
        <w:t>.” (</w:t>
      </w:r>
      <w:r w:rsidRPr="00BA4689">
        <w:rPr>
          <w:rFonts w:ascii="Times New Roman" w:eastAsia="Calibri" w:hAnsi="Times New Roman" w:cs="Times New Roman"/>
          <w:b/>
          <w:bCs/>
          <w:kern w:val="0"/>
          <w:sz w:val="24"/>
          <w:szCs w:val="24"/>
          <w:lang w:val="pt-PT"/>
          <w14:ligatures w14:val="none"/>
        </w:rPr>
        <w:t>CI1G1</w:t>
      </w:r>
      <w:r w:rsidRPr="00BA4689">
        <w:rPr>
          <w:rFonts w:ascii="Times New Roman" w:eastAsia="Calibri" w:hAnsi="Times New Roman" w:cs="Times New Roman"/>
          <w:kern w:val="0"/>
          <w:sz w:val="24"/>
          <w:szCs w:val="24"/>
          <w:lang w:val="pt-PT"/>
          <w14:ligatures w14:val="none"/>
        </w:rPr>
        <w:t>)</w:t>
      </w:r>
    </w:p>
    <w:p w14:paraId="27CDB6E6"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i/>
          <w:iCs/>
          <w:kern w:val="0"/>
          <w:sz w:val="24"/>
          <w:szCs w:val="24"/>
          <w:lang w:val="pt-PT"/>
          <w14:ligatures w14:val="none"/>
        </w:rPr>
        <w:t>“… tal como eu disse tivemos lá o educador…tentamos trazer esta igualdade do género…”</w:t>
      </w:r>
      <w:r w:rsidRPr="00BA4689">
        <w:rPr>
          <w:rFonts w:ascii="Times New Roman" w:eastAsia="Calibri" w:hAnsi="Times New Roman" w:cs="Times New Roman"/>
          <w:kern w:val="0"/>
          <w:sz w:val="24"/>
          <w:szCs w:val="24"/>
          <w:lang w:val="pt-PT"/>
          <w14:ligatures w14:val="none"/>
        </w:rPr>
        <w:t xml:space="preserve"> (</w:t>
      </w:r>
      <w:r w:rsidRPr="00BA4689">
        <w:rPr>
          <w:rFonts w:ascii="Times New Roman" w:eastAsia="Calibri" w:hAnsi="Times New Roman" w:cs="Times New Roman"/>
          <w:b/>
          <w:bCs/>
          <w:kern w:val="0"/>
          <w:sz w:val="24"/>
          <w:szCs w:val="24"/>
          <w:lang w:val="pt-PT"/>
          <w14:ligatures w14:val="none"/>
        </w:rPr>
        <w:t>CI2G1</w:t>
      </w:r>
      <w:r w:rsidRPr="00BA4689">
        <w:rPr>
          <w:rFonts w:ascii="Times New Roman" w:eastAsia="Calibri" w:hAnsi="Times New Roman" w:cs="Times New Roman"/>
          <w:kern w:val="0"/>
          <w:sz w:val="24"/>
          <w:szCs w:val="24"/>
          <w:lang w:val="pt-PT"/>
          <w14:ligatures w14:val="none"/>
        </w:rPr>
        <w:t>).</w:t>
      </w:r>
    </w:p>
    <w:p w14:paraId="19EE6462"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 xml:space="preserve">“… </w:t>
      </w:r>
      <w:r w:rsidRPr="00BA4689">
        <w:rPr>
          <w:rFonts w:ascii="Times New Roman" w:eastAsia="Calibri" w:hAnsi="Times New Roman" w:cs="Times New Roman"/>
          <w:i/>
          <w:iCs/>
          <w:kern w:val="0"/>
          <w:sz w:val="24"/>
          <w:szCs w:val="24"/>
          <w:lang w:val="pt-PT"/>
          <w14:ligatures w14:val="none"/>
        </w:rPr>
        <w:t xml:space="preserve">não haver diferenciação no tratamento das crianças, das pessoas e consoante as suas oportunidades, eh, dizer que aquilo no passado diziam que há as meninas não podiam ir para </w:t>
      </w:r>
      <w:r w:rsidRPr="00BA4689">
        <w:rPr>
          <w:rFonts w:ascii="Times New Roman" w:eastAsia="Calibri" w:hAnsi="Times New Roman" w:cs="Times New Roman"/>
          <w:i/>
          <w:iCs/>
          <w:kern w:val="0"/>
          <w:sz w:val="24"/>
          <w:szCs w:val="24"/>
          <w:lang w:val="pt-PT"/>
          <w14:ligatures w14:val="none"/>
        </w:rPr>
        <w:lastRenderedPageBreak/>
        <w:t>a escola, porque elas vão cuidar do lar quem devia ir para a escola são os rapazes, mas nós temos que dar oportunidade igual para todas as pessoas</w:t>
      </w:r>
      <w:r w:rsidRPr="00BA4689">
        <w:rPr>
          <w:rFonts w:ascii="Times New Roman" w:eastAsia="Calibri" w:hAnsi="Times New Roman" w:cs="Times New Roman"/>
          <w:kern w:val="0"/>
          <w:sz w:val="24"/>
          <w:szCs w:val="24"/>
          <w:lang w:val="pt-PT"/>
          <w14:ligatures w14:val="none"/>
        </w:rPr>
        <w:t>…” (</w:t>
      </w:r>
      <w:r w:rsidRPr="00BA4689">
        <w:rPr>
          <w:rFonts w:ascii="Times New Roman" w:eastAsia="Calibri" w:hAnsi="Times New Roman" w:cs="Times New Roman"/>
          <w:b/>
          <w:bCs/>
          <w:kern w:val="0"/>
          <w:sz w:val="24"/>
          <w:szCs w:val="24"/>
          <w:lang w:val="pt-PT"/>
          <w14:ligatures w14:val="none"/>
        </w:rPr>
        <w:t>CI2G2</w:t>
      </w:r>
      <w:r w:rsidRPr="00BA4689">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b/>
          <w:bCs/>
          <w:kern w:val="0"/>
          <w:sz w:val="24"/>
          <w:szCs w:val="24"/>
          <w:lang w:val="pt-PT"/>
          <w14:ligatures w14:val="none"/>
        </w:rPr>
        <w:t xml:space="preserve"> </w:t>
      </w:r>
    </w:p>
    <w:p w14:paraId="698DBA5F"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Ainda no contexto noções género, igualdade e equidade de género são visualizadas algumas colocações contraditórias feitas pelas participantes. Nestas a participante fala da igualdade de direitos, contudo refere a desigualdade nos deveres. Veja-se nas falas levantadas das mesmas.</w:t>
      </w:r>
    </w:p>
    <w:p w14:paraId="7D33C63E"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i/>
          <w:iCs/>
          <w:kern w:val="0"/>
          <w:sz w:val="24"/>
          <w:szCs w:val="24"/>
          <w:lang w:val="pt-PT"/>
          <w14:ligatures w14:val="none"/>
        </w:rPr>
        <w:t>O homem pode fazer o, o, o trabalho que a mulher faz, assim como a mulher também pode fazer o, o trabalho que o homem faz. A mulher quando sai do serviço não muda de ser mulher, não muda de ser esposa de alguém, tem que saber que eu quando entro dentro da minha casa sou mãe e sou esposa do fulano… Então ai, há, há, cabe a pessoa perceber que afinal de conta eu tenho direito de fazer aquilo que homem faz, mas também no, não muda nada, politicamente somos todos iguais maji aquilo que se diz mulher, homem e mulher não muda, sempre o homem tem o seu papel e a mulher tem o seu papel, maji os direitos são os mesmos… Então, mas também nós também já com essa nossa maneira de ser, às vezes já esquecemos que a mulher tem que ser submissa ao seu marido, mas o marido também tem que amar a sua e respeitar a sua esposa. Então é dai que, que eu digo que a pequena diferença é essa de o homem, é homem porque é cabeça da família, tem aquilo que ele faz dentro da casa como um esposo. A mulher também tem aquele que é o papel dela cuida das crianças, cuida do próprio marido, cuida de si mesma …</w:t>
      </w:r>
      <w:r w:rsidRPr="00BA4689">
        <w:rPr>
          <w:rFonts w:ascii="Times New Roman" w:eastAsia="Calibri" w:hAnsi="Times New Roman" w:cs="Times New Roman"/>
          <w:kern w:val="0"/>
          <w:sz w:val="24"/>
          <w:szCs w:val="24"/>
          <w:lang w:val="pt-PT"/>
          <w14:ligatures w14:val="none"/>
        </w:rPr>
        <w:t>” (</w:t>
      </w:r>
      <w:r w:rsidRPr="00BA4689">
        <w:rPr>
          <w:rFonts w:ascii="Times New Roman" w:eastAsia="Calibri" w:hAnsi="Times New Roman" w:cs="Times New Roman"/>
          <w:b/>
          <w:bCs/>
          <w:kern w:val="0"/>
          <w:sz w:val="24"/>
          <w:szCs w:val="24"/>
          <w:lang w:val="pt-PT"/>
          <w14:ligatures w14:val="none"/>
        </w:rPr>
        <w:t>CI1G2)</w:t>
      </w:r>
    </w:p>
    <w:p w14:paraId="464942C4" w14:textId="77777777" w:rsidR="00BA4689" w:rsidRPr="00BA4689" w:rsidRDefault="00BA4689" w:rsidP="00BA4689">
      <w:pPr>
        <w:spacing w:after="200" w:line="360" w:lineRule="auto"/>
        <w:jc w:val="both"/>
        <w:rPr>
          <w:rFonts w:ascii="Times New Roman" w:eastAsia="Calibri" w:hAnsi="Times New Roman" w:cs="Times New Roman"/>
          <w:bCs/>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i/>
          <w:iCs/>
          <w:kern w:val="0"/>
          <w:sz w:val="24"/>
          <w:szCs w:val="24"/>
          <w:lang w:val="pt-PT"/>
          <w14:ligatures w14:val="none"/>
        </w:rPr>
        <w:t>Não existe só trabalho para mulheres, não existe trabalho defendido que só o homem é que tem que fazer ... mas desde momento que nós saibamos interpretar, porque às vezes interpretamos mal. Às vezes chega em casa, todos trabalhamos, marido e mulher, é um … trabalhamos todos, então se todos somos iguais nem, chega já lá para panela também estou sentada, estou cansada, então eu vejo que temos que separar um pouco. Ele tem que ajudar a sua esposa, mas não que eu tenha que impor as ordens não …</w:t>
      </w:r>
      <w:r w:rsidRPr="00BA4689">
        <w:rPr>
          <w:rFonts w:ascii="Times New Roman" w:eastAsia="Calibri" w:hAnsi="Times New Roman" w:cs="Times New Roman"/>
          <w:kern w:val="0"/>
          <w:sz w:val="24"/>
          <w:szCs w:val="24"/>
          <w:lang w:val="pt-PT"/>
          <w14:ligatures w14:val="none"/>
        </w:rPr>
        <w:t>” (</w:t>
      </w:r>
      <w:r w:rsidRPr="00BA4689">
        <w:rPr>
          <w:rFonts w:ascii="Times New Roman" w:eastAsia="Calibri" w:hAnsi="Times New Roman" w:cs="Times New Roman"/>
          <w:b/>
          <w:kern w:val="0"/>
          <w:sz w:val="24"/>
          <w:szCs w:val="24"/>
          <w:lang w:val="pt-PT"/>
          <w14:ligatures w14:val="none"/>
        </w:rPr>
        <w:t>CI4G1</w:t>
      </w:r>
      <w:r w:rsidRPr="00BA4689">
        <w:rPr>
          <w:rFonts w:ascii="Times New Roman" w:eastAsia="Calibri" w:hAnsi="Times New Roman" w:cs="Times New Roman"/>
          <w:bCs/>
          <w:kern w:val="0"/>
          <w:sz w:val="24"/>
          <w:szCs w:val="24"/>
          <w:lang w:val="pt-PT"/>
          <w14:ligatures w14:val="none"/>
        </w:rPr>
        <w:t>)</w:t>
      </w:r>
    </w:p>
    <w:p w14:paraId="039337FE" w14:textId="2CF46A70" w:rsid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bCs/>
          <w:kern w:val="0"/>
          <w:sz w:val="24"/>
          <w:szCs w:val="24"/>
          <w:lang w:val="pt-PT"/>
          <w14:ligatures w14:val="none"/>
        </w:rPr>
        <w:t xml:space="preserve">Analisando estas colocações das gestoras se pode concluir que de facto há uma noção sobre a questão da igualdade de género se emparelharmos com as indicações de Rossini, et. al. (1997), Universidade de São Paulo - NEMGE/CNPq (2006), Sahin (2014) e Martins, Perreira, João e Monteiro (2015) quando trazem a perspectiva de oportunidades iguais e valorização na mesma dimensão entre homens e mulheres. Ter noção sobre estes conceitos pelas gestoras mostra-se relevante, na medida em que só se pode promover o que se tem consciência como afirma (Gonçalves, 2018). Contudo, algumas destas gestoras demonstram a existência de uma ambiguidade ainda na noção destes conceitos ao referirem-se aos direitos iguais entre homens </w:t>
      </w:r>
      <w:r w:rsidRPr="00BA4689">
        <w:rPr>
          <w:rFonts w:ascii="Times New Roman" w:eastAsia="Calibri" w:hAnsi="Times New Roman" w:cs="Times New Roman"/>
          <w:bCs/>
          <w:kern w:val="0"/>
          <w:sz w:val="24"/>
          <w:szCs w:val="24"/>
          <w:lang w:val="pt-PT"/>
          <w14:ligatures w14:val="none"/>
        </w:rPr>
        <w:lastRenderedPageBreak/>
        <w:t>e mulheres e ao mesmo tempo fazerem menção a diferenciação dos direitos e deveres ao passarem para o contexto doméstico. Esta visão pode também influir na sua prática quotidiana no contexto institucional, já que as concepções influenciam o comportamento. A ambiguidade das gestoras pode estar ligada as suas concepções socio-culturais baseadas em estereótipos de género (</w:t>
      </w:r>
      <w:bookmarkStart w:id="11" w:name="_Hlk169784553"/>
      <w:r w:rsidRPr="00BA4689">
        <w:rPr>
          <w:rFonts w:ascii="Times New Roman" w:eastAsia="Calibri" w:hAnsi="Times New Roman" w:cs="Times New Roman"/>
          <w:bCs/>
          <w:kern w:val="0"/>
          <w:sz w:val="24"/>
          <w:szCs w:val="24"/>
          <w:lang w:val="pt-PT"/>
          <w14:ligatures w14:val="none"/>
        </w:rPr>
        <w:t>vvob &amp; FAWE, 2019;</w:t>
      </w:r>
      <w:r w:rsidRPr="00BA4689">
        <w:rPr>
          <w:rFonts w:ascii="Calibri" w:eastAsia="Calibri" w:hAnsi="Calibri" w:cs="Times New Roman"/>
          <w:kern w:val="0"/>
          <w:lang w:val="pt-PT"/>
          <w14:ligatures w14:val="none"/>
        </w:rPr>
        <w:t xml:space="preserve"> </w:t>
      </w:r>
      <w:bookmarkStart w:id="12" w:name="_Hlk169785118"/>
      <w:bookmarkEnd w:id="11"/>
      <w:r w:rsidRPr="00BA4689">
        <w:rPr>
          <w:rFonts w:ascii="Times New Roman" w:eastAsia="Calibri" w:hAnsi="Times New Roman" w:cs="Times New Roman"/>
          <w:bCs/>
          <w:kern w:val="0"/>
          <w:sz w:val="24"/>
          <w:szCs w:val="24"/>
          <w:lang w:val="pt-PT"/>
          <w14:ligatures w14:val="none"/>
        </w:rPr>
        <w:t>Nhancale; Tomo, Mathe &amp; Mapelane, 2022</w:t>
      </w:r>
      <w:bookmarkEnd w:id="12"/>
      <w:r w:rsidRPr="00BA4689">
        <w:rPr>
          <w:rFonts w:ascii="Times New Roman" w:eastAsia="Calibri" w:hAnsi="Times New Roman" w:cs="Times New Roman"/>
          <w:bCs/>
          <w:kern w:val="0"/>
          <w:sz w:val="24"/>
          <w:szCs w:val="24"/>
          <w:lang w:val="pt-PT"/>
          <w14:ligatures w14:val="none"/>
        </w:rPr>
        <w:t>,</w:t>
      </w:r>
      <w:r w:rsidRPr="00BA4689">
        <w:rPr>
          <w:rFonts w:ascii="Calibri" w:eastAsia="Calibri" w:hAnsi="Calibri" w:cs="Times New Roman"/>
          <w:kern w:val="0"/>
          <w:lang w:val="pt-PT"/>
          <w14:ligatures w14:val="none"/>
        </w:rPr>
        <w:t xml:space="preserve"> </w:t>
      </w:r>
      <w:r w:rsidRPr="00BA4689">
        <w:rPr>
          <w:rFonts w:ascii="Times New Roman" w:eastAsia="Calibri" w:hAnsi="Times New Roman" w:cs="Times New Roman"/>
          <w:bCs/>
          <w:kern w:val="0"/>
          <w:sz w:val="24"/>
          <w:szCs w:val="24"/>
          <w:lang w:val="pt-PT"/>
          <w14:ligatures w14:val="none"/>
        </w:rPr>
        <w:t xml:space="preserve">Vianna, et. al., 2016; Scott, 1989; </w:t>
      </w:r>
      <w:r w:rsidRPr="00BA4689">
        <w:rPr>
          <w:rFonts w:ascii="Times New Roman" w:eastAsia="Calibri" w:hAnsi="Times New Roman" w:cs="Times New Roman"/>
          <w:kern w:val="0"/>
          <w:sz w:val="24"/>
          <w:szCs w:val="24"/>
          <w:lang w:val="pt-PT"/>
          <w14:ligatures w14:val="none"/>
        </w:rPr>
        <w:t>West &amp; Zimmerman, 1987</w:t>
      </w:r>
      <w:r w:rsidRPr="00BA4689">
        <w:rPr>
          <w:rFonts w:ascii="Times New Roman" w:eastAsia="Calibri" w:hAnsi="Times New Roman" w:cs="Times New Roman"/>
          <w:bCs/>
          <w:kern w:val="0"/>
          <w:sz w:val="24"/>
          <w:szCs w:val="24"/>
          <w:lang w:val="pt-PT"/>
          <w14:ligatures w14:val="none"/>
        </w:rPr>
        <w:t>). Por isso, vvob &amp; FAWE (2019) e</w:t>
      </w:r>
      <w:r w:rsidRPr="00BA4689">
        <w:rPr>
          <w:rFonts w:ascii="Calibri" w:eastAsia="Calibri" w:hAnsi="Calibri" w:cs="Times New Roman"/>
          <w:kern w:val="0"/>
          <w:lang w:val="pt-PT"/>
          <w14:ligatures w14:val="none"/>
        </w:rPr>
        <w:t xml:space="preserve"> </w:t>
      </w:r>
      <w:r w:rsidRPr="00BA4689">
        <w:rPr>
          <w:rFonts w:ascii="Times New Roman" w:eastAsia="Calibri" w:hAnsi="Times New Roman" w:cs="Times New Roman"/>
          <w:bCs/>
          <w:kern w:val="0"/>
          <w:sz w:val="24"/>
          <w:szCs w:val="24"/>
          <w:lang w:val="pt-PT"/>
          <w14:ligatures w14:val="none"/>
        </w:rPr>
        <w:t xml:space="preserve">Mweru (2012) orientam para que profissionais de infância comprometidos/as em promover a igualdade e equidade de género na sua actividade diária na estimulação das crianças, meninas e meninos devam reflectir sobre estes estereótipos para que tenham consciência sobre as mesmas e não constituam barreira para os objectivos preconizados. Assim como </w:t>
      </w:r>
      <w:r w:rsidRPr="00BA4689">
        <w:rPr>
          <w:rFonts w:ascii="Times New Roman" w:eastAsia="Calibri" w:hAnsi="Times New Roman" w:cs="Times New Roman"/>
          <w:kern w:val="0"/>
          <w:sz w:val="24"/>
          <w:szCs w:val="24"/>
          <w:lang w:val="pt-PT"/>
          <w14:ligatures w14:val="none"/>
        </w:rPr>
        <w:t>Rossini, et. al. (1997), quando propõe até questões para a auto-reflexão, por considera</w:t>
      </w:r>
      <w:r w:rsidR="00701517">
        <w:rPr>
          <w:rFonts w:ascii="Times New Roman" w:eastAsia="Calibri" w:hAnsi="Times New Roman" w:cs="Times New Roman"/>
          <w:kern w:val="0"/>
          <w:sz w:val="24"/>
          <w:szCs w:val="24"/>
          <w:lang w:val="pt-PT"/>
          <w14:ligatures w14:val="none"/>
        </w:rPr>
        <w:t>r</w:t>
      </w:r>
      <w:r w:rsidRPr="00BA4689">
        <w:rPr>
          <w:rFonts w:ascii="Times New Roman" w:eastAsia="Calibri" w:hAnsi="Times New Roman" w:cs="Times New Roman"/>
          <w:kern w:val="0"/>
          <w:sz w:val="24"/>
          <w:szCs w:val="24"/>
          <w:lang w:val="pt-PT"/>
          <w14:ligatures w14:val="none"/>
        </w:rPr>
        <w:t xml:space="preserve"> relevante no processo educativo na infância.</w:t>
      </w:r>
    </w:p>
    <w:p w14:paraId="2F36DF6C" w14:textId="6C1E29E3" w:rsidR="00701517" w:rsidRPr="00BA4689" w:rsidRDefault="00701517" w:rsidP="00BA4689">
      <w:pPr>
        <w:spacing w:after="200" w:line="360" w:lineRule="auto"/>
        <w:jc w:val="both"/>
        <w:rPr>
          <w:rFonts w:ascii="Times New Roman" w:eastAsia="Calibri" w:hAnsi="Times New Roman" w:cs="Times New Roman"/>
          <w:bCs/>
          <w:kern w:val="0"/>
          <w:sz w:val="24"/>
          <w:szCs w:val="24"/>
          <w:lang w:val="pt-PT"/>
          <w14:ligatures w14:val="none"/>
        </w:rPr>
      </w:pPr>
      <w:r>
        <w:rPr>
          <w:rFonts w:ascii="Times New Roman" w:eastAsia="Calibri" w:hAnsi="Times New Roman" w:cs="Times New Roman"/>
          <w:kern w:val="0"/>
          <w:sz w:val="24"/>
          <w:szCs w:val="24"/>
          <w:lang w:val="pt-PT"/>
          <w14:ligatures w14:val="none"/>
        </w:rPr>
        <w:t xml:space="preserve">Na perspectiva das duas teorias, esta postura das gestoras pode permitir que se elimine regimes de desigualdades e ainda questões de </w:t>
      </w:r>
      <w:r w:rsidR="00914530">
        <w:rPr>
          <w:rFonts w:ascii="Times New Roman" w:eastAsia="Calibri" w:hAnsi="Times New Roman" w:cs="Times New Roman"/>
          <w:kern w:val="0"/>
          <w:sz w:val="24"/>
          <w:szCs w:val="24"/>
          <w:lang w:val="pt-PT"/>
          <w14:ligatures w14:val="none"/>
        </w:rPr>
        <w:t>injustiça</w:t>
      </w:r>
      <w:r>
        <w:rPr>
          <w:rFonts w:ascii="Times New Roman" w:eastAsia="Calibri" w:hAnsi="Times New Roman" w:cs="Times New Roman"/>
          <w:kern w:val="0"/>
          <w:sz w:val="24"/>
          <w:szCs w:val="24"/>
          <w:lang w:val="pt-PT"/>
          <w14:ligatures w14:val="none"/>
        </w:rPr>
        <w:t xml:space="preserve"> epistémica, assim como as ambiguidades nesta mesma postura pode conduzir a </w:t>
      </w:r>
      <w:r w:rsidR="00914530">
        <w:rPr>
          <w:rFonts w:ascii="Times New Roman" w:eastAsia="Calibri" w:hAnsi="Times New Roman" w:cs="Times New Roman"/>
          <w:kern w:val="0"/>
          <w:sz w:val="24"/>
          <w:szCs w:val="24"/>
          <w:lang w:val="pt-PT"/>
          <w14:ligatures w14:val="none"/>
        </w:rPr>
        <w:t>dinâmica contraria onde persistem os regimes ou ocorrem situações de injustiça epistémica como referem (Acker, 2006 &amp; Fricker, 2007).</w:t>
      </w:r>
      <w:r w:rsidR="00E9423C">
        <w:rPr>
          <w:rFonts w:ascii="Times New Roman" w:eastAsia="Calibri" w:hAnsi="Times New Roman" w:cs="Times New Roman"/>
          <w:kern w:val="0"/>
          <w:sz w:val="24"/>
          <w:szCs w:val="24"/>
          <w:lang w:val="pt-PT"/>
          <w14:ligatures w14:val="none"/>
        </w:rPr>
        <w:t xml:space="preserve"> Pois, as gestoras em algumas articulações indicam que conhecimento e reconhecimento da igualdade de género e em outras ao explicar referem diferenciação dos papeis, ao pode incorrer em diferenciação das oportunidades.</w:t>
      </w:r>
    </w:p>
    <w:p w14:paraId="6961EE08" w14:textId="0F48B05B" w:rsidR="00BA4689" w:rsidRPr="00BA4689" w:rsidRDefault="00BA4689" w:rsidP="00BA4689">
      <w:pPr>
        <w:spacing w:after="0" w:line="360" w:lineRule="auto"/>
        <w:ind w:left="2136"/>
        <w:contextualSpacing/>
        <w:jc w:val="both"/>
        <w:rPr>
          <w:rFonts w:ascii="Times New Roman" w:eastAsia="Calibri" w:hAnsi="Times New Roman" w:cs="Times New Roman"/>
          <w:b/>
          <w:bCs/>
          <w:i/>
          <w:iCs/>
          <w:color w:val="000000"/>
          <w:kern w:val="0"/>
          <w:sz w:val="24"/>
          <w:szCs w:val="24"/>
          <w:lang w:val="pt-PT"/>
          <w14:ligatures w14:val="none"/>
        </w:rPr>
      </w:pPr>
      <w:r w:rsidRPr="00BA4689">
        <w:rPr>
          <w:rFonts w:ascii="Times New Roman" w:eastAsia="Calibri" w:hAnsi="Times New Roman" w:cs="Times New Roman"/>
          <w:b/>
          <w:bCs/>
          <w:i/>
          <w:iCs/>
          <w:color w:val="000000"/>
          <w:kern w:val="0"/>
          <w:sz w:val="24"/>
          <w:szCs w:val="24"/>
          <w:lang w:val="pt-PT"/>
          <w14:ligatures w14:val="none"/>
        </w:rPr>
        <w:t>Importância de abordar sobre género, igualdade e equidade de género</w:t>
      </w:r>
    </w:p>
    <w:p w14:paraId="6CF58A03"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Esta subcategoria espelha o que as gestoras indicaram como relevante a abordagem sobre a temática de género, igualdade e equidade de género. Estas fazem uma revisão histórica do ser e estar social nas relações sociais entre homens e mulheres e trazem o resultado em forma de mudança social saudável que proporciona, conforme as falas a seguir.</w:t>
      </w:r>
    </w:p>
    <w:p w14:paraId="22BC7E84"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w:t>
      </w:r>
      <w:r w:rsidRPr="00BA4689">
        <w:rPr>
          <w:rFonts w:ascii="Times New Roman" w:eastAsia="Calibri" w:hAnsi="Times New Roman" w:cs="Times New Roman"/>
          <w:i/>
          <w:iCs/>
          <w:color w:val="000000"/>
          <w:kern w:val="0"/>
          <w:sz w:val="24"/>
          <w:szCs w:val="24"/>
          <w:lang w:val="pt-PT"/>
          <w14:ligatures w14:val="none"/>
        </w:rPr>
        <w:t>importante é, o que se quer é sabermos usar essa tal igualdade. É muito bonito, ihm, é muito bonito, uhm, é importante mesmo. Porque como eu também cresci um bocadinho naqueles tempos, via que era um sofrimento que os nossos pais, as nossas mães passavam. É diferente de agora, mesmo criança de hoje está independente ... é importante saber os nossos direitos, mas também temos que respeitar. Sabermos como usar…</w:t>
      </w:r>
      <w:r w:rsidRPr="00BA4689">
        <w:rPr>
          <w:rFonts w:ascii="Times New Roman" w:eastAsia="Calibri" w:hAnsi="Times New Roman" w:cs="Times New Roman"/>
          <w:color w:val="000000"/>
          <w:kern w:val="0"/>
          <w:sz w:val="24"/>
          <w:szCs w:val="24"/>
          <w:lang w:val="pt-PT"/>
          <w14:ligatures w14:val="none"/>
        </w:rPr>
        <w:t>” (</w:t>
      </w:r>
      <w:r w:rsidRPr="00BA4689">
        <w:rPr>
          <w:rFonts w:ascii="Times New Roman" w:eastAsia="Calibri" w:hAnsi="Times New Roman" w:cs="Times New Roman"/>
          <w:b/>
          <w:kern w:val="0"/>
          <w:lang w:val="pt-PT"/>
          <w14:ligatures w14:val="none"/>
        </w:rPr>
        <w:t>CI1G2</w:t>
      </w:r>
      <w:r w:rsidRPr="00BA4689">
        <w:rPr>
          <w:rFonts w:ascii="Times New Roman" w:eastAsia="Calibri" w:hAnsi="Times New Roman" w:cs="Times New Roman"/>
          <w:color w:val="000000"/>
          <w:kern w:val="0"/>
          <w:sz w:val="24"/>
          <w:szCs w:val="24"/>
          <w:lang w:val="pt-PT"/>
          <w14:ligatures w14:val="none"/>
        </w:rPr>
        <w:t>)</w:t>
      </w:r>
    </w:p>
    <w:p w14:paraId="344E574F"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3C7844DF" w14:textId="77777777" w:rsidR="00BA4689" w:rsidRPr="00BA4689" w:rsidRDefault="00BA4689" w:rsidP="00BA4689">
      <w:pPr>
        <w:spacing w:before="240" w:after="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w:t>
      </w:r>
      <w:r w:rsidRPr="00BA4689">
        <w:rPr>
          <w:rFonts w:ascii="Times New Roman" w:eastAsia="Calibri" w:hAnsi="Times New Roman" w:cs="Times New Roman"/>
          <w:i/>
          <w:iCs/>
          <w:color w:val="000000"/>
          <w:kern w:val="0"/>
          <w:sz w:val="24"/>
          <w:szCs w:val="24"/>
          <w:lang w:val="pt-PT"/>
          <w14:ligatures w14:val="none"/>
        </w:rPr>
        <w:t xml:space="preserve">É importante a igualdade de género para a sociedade, porque quebra os tabus tradicionais, porque eu posso sofrer de uma violência, dentro da casa, mas dantes eu fui ensinada que não posso queixar o meu parceiro, mas agora já é possível quebrar-se. Dizer que epha eu passo </w:t>
      </w:r>
      <w:r w:rsidRPr="00BA4689">
        <w:rPr>
          <w:rFonts w:ascii="Times New Roman" w:eastAsia="Calibri" w:hAnsi="Times New Roman" w:cs="Times New Roman"/>
          <w:i/>
          <w:iCs/>
          <w:color w:val="000000"/>
          <w:kern w:val="0"/>
          <w:sz w:val="24"/>
          <w:szCs w:val="24"/>
          <w:lang w:val="pt-PT"/>
          <w14:ligatures w14:val="none"/>
        </w:rPr>
        <w:lastRenderedPageBreak/>
        <w:t>isto, passo isto, passo isto na minha família, mas dantes não, sofrias ficavas com aquelas dores. Acabava alguém se enforcando sem saber-se, porque está-se a enforcar, mas agora já não é possível sim</w:t>
      </w:r>
      <w:r w:rsidRPr="00BA4689">
        <w:rPr>
          <w:rFonts w:ascii="Times New Roman" w:eastAsia="Calibri" w:hAnsi="Times New Roman" w:cs="Times New Roman"/>
          <w:color w:val="000000"/>
          <w:kern w:val="0"/>
          <w:sz w:val="24"/>
          <w:szCs w:val="24"/>
          <w:lang w:val="pt-PT"/>
          <w14:ligatures w14:val="none"/>
        </w:rPr>
        <w:t>.” (</w:t>
      </w:r>
      <w:r w:rsidRPr="00BA4689">
        <w:rPr>
          <w:rFonts w:ascii="Times New Roman" w:eastAsia="Calibri" w:hAnsi="Times New Roman" w:cs="Times New Roman"/>
          <w:b/>
          <w:kern w:val="0"/>
          <w:sz w:val="24"/>
          <w:szCs w:val="24"/>
          <w:lang w:val="pt-PT"/>
          <w14:ligatures w14:val="none"/>
        </w:rPr>
        <w:t>CI4G1</w:t>
      </w:r>
      <w:r w:rsidRPr="00BA4689">
        <w:rPr>
          <w:rFonts w:ascii="Times New Roman" w:eastAsia="Calibri" w:hAnsi="Times New Roman" w:cs="Times New Roman"/>
          <w:color w:val="000000"/>
          <w:kern w:val="0"/>
          <w:sz w:val="24"/>
          <w:szCs w:val="24"/>
          <w:lang w:val="pt-PT"/>
          <w14:ligatures w14:val="none"/>
        </w:rPr>
        <w:t>)</w:t>
      </w:r>
    </w:p>
    <w:p w14:paraId="6CF6EA50" w14:textId="77777777" w:rsidR="00BA4689" w:rsidRPr="00BA4689" w:rsidRDefault="00BA4689" w:rsidP="00BA4689">
      <w:pPr>
        <w:spacing w:line="360" w:lineRule="auto"/>
        <w:jc w:val="both"/>
        <w:outlineLvl w:val="2"/>
        <w:rPr>
          <w:rFonts w:ascii="Times New Roman" w:eastAsia="Calibri" w:hAnsi="Times New Roman" w:cs="Times New Roman"/>
          <w:bCs/>
          <w:color w:val="000000"/>
          <w:kern w:val="0"/>
          <w:sz w:val="24"/>
          <w:szCs w:val="24"/>
          <w:lang w:val="pt-PT"/>
          <w14:ligatures w14:val="none"/>
        </w:rPr>
      </w:pPr>
      <w:r w:rsidRPr="00BA4689">
        <w:rPr>
          <w:rFonts w:ascii="Times New Roman" w:eastAsia="Calibri" w:hAnsi="Times New Roman" w:cs="Times New Roman"/>
          <w:bCs/>
          <w:color w:val="000000"/>
          <w:kern w:val="0"/>
          <w:sz w:val="24"/>
          <w:szCs w:val="24"/>
          <w:lang w:val="pt-PT"/>
          <w14:ligatures w14:val="none"/>
        </w:rPr>
        <w:t>“</w:t>
      </w:r>
      <w:r w:rsidRPr="00BA4689">
        <w:rPr>
          <w:rFonts w:ascii="Times New Roman" w:eastAsia="Calibri" w:hAnsi="Times New Roman" w:cs="Times New Roman"/>
          <w:bCs/>
          <w:i/>
          <w:iCs/>
          <w:color w:val="000000"/>
          <w:kern w:val="0"/>
          <w:sz w:val="24"/>
          <w:szCs w:val="24"/>
          <w:lang w:val="pt-PT"/>
          <w14:ligatures w14:val="none"/>
        </w:rPr>
        <w:t>É importante porque na altura nós as mulheres como contavam os meus pais, o homem é, a mulher tinha de fazer tudo em casa, enquanto que agora o homem pode ajudar. A esposa foi no trabalho, o homem pode ficar com as crianças, ajudar na, na, na, na confeição das comidas, pode arrumar os quartos das crianças, enquanto que antigamente o homem não fazia, era tudo para a mulher. … A mulher não podia pôr calças, porque tem homem, tem mulumuzana em casa, mas agora homem põe calças, mulher põe calças, já estamos a ver alguns homens com brincos e tranças, enquanto na altura iih, não acontecia isso. A mulher já não é subcarregada nas tarefas de casa.</w:t>
      </w:r>
      <w:r w:rsidRPr="00BA4689">
        <w:rPr>
          <w:rFonts w:ascii="Times New Roman" w:eastAsia="Calibri" w:hAnsi="Times New Roman" w:cs="Times New Roman"/>
          <w:bCs/>
          <w:color w:val="000000"/>
          <w:kern w:val="0"/>
          <w:sz w:val="24"/>
          <w:szCs w:val="24"/>
          <w:lang w:val="pt-PT"/>
          <w14:ligatures w14:val="none"/>
        </w:rPr>
        <w:t>” (</w:t>
      </w:r>
      <w:r w:rsidRPr="00BA4689">
        <w:rPr>
          <w:rFonts w:ascii="Times New Roman" w:eastAsia="Calibri" w:hAnsi="Times New Roman" w:cs="Times New Roman"/>
          <w:b/>
          <w:color w:val="000000"/>
          <w:kern w:val="0"/>
          <w:sz w:val="24"/>
          <w:szCs w:val="24"/>
          <w:lang w:val="pt-PT"/>
          <w14:ligatures w14:val="none"/>
        </w:rPr>
        <w:t>CI4G2</w:t>
      </w:r>
      <w:r w:rsidRPr="00BA4689">
        <w:rPr>
          <w:rFonts w:ascii="Times New Roman" w:eastAsia="Calibri" w:hAnsi="Times New Roman" w:cs="Times New Roman"/>
          <w:bCs/>
          <w:color w:val="000000"/>
          <w:kern w:val="0"/>
          <w:sz w:val="24"/>
          <w:szCs w:val="24"/>
          <w:lang w:val="pt-PT"/>
          <w14:ligatures w14:val="none"/>
        </w:rPr>
        <w:t>)</w:t>
      </w:r>
    </w:p>
    <w:p w14:paraId="33EE807E" w14:textId="2CBCCB8A" w:rsidR="00E9423C" w:rsidRPr="00BA4689" w:rsidRDefault="00BA4689" w:rsidP="00BA4689">
      <w:pPr>
        <w:spacing w:after="200" w:line="360" w:lineRule="auto"/>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 xml:space="preserve">Nesta subcategoria tem-se a visão de gestoras não só com noções sobre género, igualdade e equidade de género, mas também interpretação da relevância da sua abordagem. Esta posição das gestoras mostra-se crucial, na medida em que uma apropriação de uma forma de conceber o contexto pode influir para uma melhor implementação da mesma como defende (Gonçalves, 2009). Na visão das gestoras, não só está patente a consciência da relevância da abordagem desta perspectiva de género, mas também a profundidade com que é apresentada, quando envolve reflexões relativas à sua história de vida e as relações sociais de género. É como se a pesquisa tivesse proporcionado um momento de autorreflexão recomendado por (vvob &amp; FAWE, 2019; Rossini, et. al., 1997; </w:t>
      </w:r>
      <w:r w:rsidRPr="00BA4689">
        <w:rPr>
          <w:rFonts w:ascii="Times New Roman" w:eastAsia="Calibri" w:hAnsi="Times New Roman" w:cs="Times New Roman"/>
          <w:color w:val="000000"/>
          <w:kern w:val="0"/>
          <w:sz w:val="24"/>
          <w:szCs w:val="24"/>
          <w:lang w:val="pt-PT"/>
          <w14:ligatures w14:val="none"/>
        </w:rPr>
        <w:t>Mweru, 2012).</w:t>
      </w:r>
    </w:p>
    <w:p w14:paraId="3D43A086" w14:textId="77777777" w:rsidR="00BA4689" w:rsidRPr="00BA4689" w:rsidRDefault="00BA4689" w:rsidP="00FD6945">
      <w:pPr>
        <w:spacing w:after="200" w:line="360" w:lineRule="auto"/>
        <w:jc w:val="both"/>
        <w:outlineLvl w:val="2"/>
        <w:rPr>
          <w:rFonts w:ascii="Times New Roman" w:eastAsia="Calibri" w:hAnsi="Times New Roman" w:cs="Times New Roman"/>
          <w:b/>
          <w:bCs/>
          <w:color w:val="000000"/>
          <w:kern w:val="0"/>
          <w:sz w:val="24"/>
          <w:szCs w:val="24"/>
          <w:lang w:val="pt-PT"/>
          <w14:ligatures w14:val="none"/>
        </w:rPr>
      </w:pPr>
      <w:bookmarkStart w:id="13" w:name="_Toc151120119"/>
      <w:r w:rsidRPr="00BA4689">
        <w:rPr>
          <w:rFonts w:ascii="Times New Roman" w:eastAsia="Calibri" w:hAnsi="Times New Roman" w:cs="Times New Roman"/>
          <w:b/>
          <w:bCs/>
          <w:color w:val="000000"/>
          <w:kern w:val="0"/>
          <w:sz w:val="24"/>
          <w:szCs w:val="24"/>
          <w:lang w:val="pt-PT"/>
          <w14:ligatures w14:val="none"/>
        </w:rPr>
        <w:t>Implementação da igualdade e equidade de género no processo educativo no Centro Infantil</w:t>
      </w:r>
      <w:bookmarkEnd w:id="13"/>
    </w:p>
    <w:p w14:paraId="6671F916" w14:textId="77777777" w:rsidR="00BA4689" w:rsidRPr="00BA4689" w:rsidRDefault="00BA4689" w:rsidP="00BA4689">
      <w:pPr>
        <w:spacing w:after="200" w:line="360" w:lineRule="auto"/>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Esta constitui uma outra categoria que sobressaiu na perspectiva das gestoras dos Centros Infantis ao abordarem sobre como a igualdade e equidade de género é manifestada nestas instituições no processo educativo das crianças. A forma como as instituições transmitem relaciona-se com a não separação das crianças pelo sexo nas actividades, a conceção da liberdade de a criança escolher o brinquedo com o qual quer brincar no momento, assim como clarificar as crianças que menina e menino podem exercer a mesma função, incluindo a existência de pelo menos um educador na instituição. Onde se separa é nas casas de banho em que existem para meninas e para meninos.</w:t>
      </w:r>
    </w:p>
    <w:p w14:paraId="3D6DBAFA"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35AAD792"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i/>
          <w:iCs/>
          <w:color w:val="000000"/>
          <w:kern w:val="0"/>
          <w:sz w:val="24"/>
          <w:szCs w:val="24"/>
          <w:lang w:val="pt-PT"/>
          <w14:ligatures w14:val="none"/>
        </w:rPr>
        <w:lastRenderedPageBreak/>
        <w:t>“…não separamos nossos meninos e quando estamos dentro da sala está lá o rapaz, está lá a menina…Enquanto os outros comem eu vou tirando prato, vou levar para a cozinha. Isso é uma profissão que tanto o rapaz, tanto a menina devem exercer essa função ... porque não é a menina só que tem que servir o prato, a própria criança também pode servir outras crianças</w:t>
      </w:r>
      <w:r w:rsidRPr="00BA4689">
        <w:rPr>
          <w:rFonts w:ascii="Times New Roman" w:eastAsia="Calibri" w:hAnsi="Times New Roman" w:cs="Times New Roman"/>
          <w:color w:val="000000"/>
          <w:kern w:val="0"/>
          <w:sz w:val="24"/>
          <w:szCs w:val="24"/>
          <w:lang w:val="pt-PT"/>
          <w14:ligatures w14:val="none"/>
        </w:rPr>
        <w:t>.” (</w:t>
      </w:r>
      <w:r w:rsidRPr="00BA4689">
        <w:rPr>
          <w:rFonts w:ascii="Times New Roman" w:eastAsia="Calibri" w:hAnsi="Times New Roman" w:cs="Times New Roman"/>
          <w:b/>
          <w:kern w:val="0"/>
          <w:sz w:val="24"/>
          <w:szCs w:val="24"/>
          <w:lang w:val="pt-PT"/>
          <w14:ligatures w14:val="none"/>
        </w:rPr>
        <w:t>CI1G1</w:t>
      </w:r>
      <w:r w:rsidRPr="00BA4689">
        <w:rPr>
          <w:rFonts w:ascii="Times New Roman" w:eastAsia="Calibri" w:hAnsi="Times New Roman" w:cs="Times New Roman"/>
          <w:color w:val="000000"/>
          <w:kern w:val="0"/>
          <w:sz w:val="24"/>
          <w:szCs w:val="24"/>
          <w:lang w:val="pt-PT"/>
          <w14:ligatures w14:val="none"/>
        </w:rPr>
        <w:t>)</w:t>
      </w:r>
    </w:p>
    <w:p w14:paraId="38C452F8"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5EAFB6EE"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w:t>
      </w:r>
      <w:r w:rsidRPr="00BA4689">
        <w:rPr>
          <w:rFonts w:ascii="Times New Roman" w:eastAsia="Calibri" w:hAnsi="Times New Roman" w:cs="Times New Roman"/>
          <w:i/>
          <w:iCs/>
          <w:color w:val="000000"/>
          <w:kern w:val="0"/>
          <w:sz w:val="24"/>
          <w:szCs w:val="24"/>
          <w:lang w:val="pt-PT"/>
          <w14:ligatures w14:val="none"/>
        </w:rPr>
        <w:t>tivemos lá o educador, no início pareceu um pouco estranho não é, pareceu um pouco estranho, pareceu um pouco estranho, porque prontos a sociedade assume que quem cuida de crianças são mulheres, são mulheres, … foi uma boa experiência trazermos eeeeeeeh esta componente.”</w:t>
      </w:r>
      <w:r w:rsidRPr="00BA4689">
        <w:rPr>
          <w:rFonts w:ascii="Times New Roman" w:eastAsia="Calibri" w:hAnsi="Times New Roman" w:cs="Times New Roman"/>
          <w:color w:val="000000"/>
          <w:kern w:val="0"/>
          <w:sz w:val="24"/>
          <w:szCs w:val="24"/>
          <w:lang w:val="pt-PT"/>
          <w14:ligatures w14:val="none"/>
        </w:rPr>
        <w:t xml:space="preserve"> (</w:t>
      </w:r>
      <w:r w:rsidRPr="00BA4689">
        <w:rPr>
          <w:rFonts w:ascii="Times New Roman" w:eastAsia="Calibri" w:hAnsi="Times New Roman" w:cs="Times New Roman"/>
          <w:b/>
          <w:bCs/>
          <w:color w:val="000000"/>
          <w:kern w:val="0"/>
          <w:sz w:val="24"/>
          <w:szCs w:val="24"/>
          <w:lang w:val="pt-PT"/>
          <w14:ligatures w14:val="none"/>
        </w:rPr>
        <w:t>CI2G1</w:t>
      </w:r>
      <w:r w:rsidRPr="00BA4689">
        <w:rPr>
          <w:rFonts w:ascii="Times New Roman" w:eastAsia="Calibri" w:hAnsi="Times New Roman" w:cs="Times New Roman"/>
          <w:color w:val="000000"/>
          <w:kern w:val="0"/>
          <w:sz w:val="24"/>
          <w:szCs w:val="24"/>
          <w:lang w:val="pt-PT"/>
          <w14:ligatures w14:val="none"/>
        </w:rPr>
        <w:t xml:space="preserve">) </w:t>
      </w:r>
    </w:p>
    <w:p w14:paraId="1609A334"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03F7CB06" w14:textId="524415F4" w:rsidR="00BA4689" w:rsidRPr="00BA4689" w:rsidRDefault="00BA4689" w:rsidP="00BA4689">
      <w:pPr>
        <w:spacing w:after="200" w:line="360" w:lineRule="auto"/>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 xml:space="preserve">As gestoras têm as noções de igualdade e equidade de género, por isso o que emerge da sua implementação ou a forma como se manifesta nos centros infantis está de acordo com os seus conhecimentos. Ao não separar as meninas e meninos nas actividades, permitindo que percebam que podem desenvolver as mesmas actividades é um acto de combater a injustiça epistémica de Fricker (2007) dando oportunidades de aprendizagem iguais a todas crianças, assim como corroborando com a orientação de </w:t>
      </w:r>
      <w:r w:rsidRPr="00BA4689">
        <w:rPr>
          <w:rFonts w:ascii="Times New Roman" w:eastAsia="Calibri" w:hAnsi="Times New Roman" w:cs="Times New Roman"/>
          <w:color w:val="000000"/>
          <w:kern w:val="0"/>
          <w:sz w:val="24"/>
          <w:szCs w:val="24"/>
          <w:lang w:val="pt-PT"/>
          <w14:ligatures w14:val="none"/>
        </w:rPr>
        <w:t xml:space="preserve">Louro (1997) para o uso das pedagogias feministas que envolvem o uso de princípios como a cooperação, a igualdade, entre outros. Esta forma de actuação das gestoras pode ser pelo facto de os manuais orientadores de actividades na educação de infância fazerem o uso da expressão “as crianças” ao longo do texto o que pode reflectir ser uma orientação para o envolvimento de todas as crianças independentemente do sexo e da actividade a ser desenvolvida o que indica mudança de paradigma para tarefas que vão </w:t>
      </w:r>
      <w:r w:rsidR="002D6283" w:rsidRPr="00BA4689">
        <w:rPr>
          <w:rFonts w:ascii="Times New Roman" w:eastAsia="Calibri" w:hAnsi="Times New Roman" w:cs="Times New Roman"/>
          <w:color w:val="000000"/>
          <w:kern w:val="0"/>
          <w:sz w:val="24"/>
          <w:szCs w:val="24"/>
          <w:lang w:val="pt-PT"/>
          <w14:ligatures w14:val="none"/>
        </w:rPr>
        <w:t>alé</w:t>
      </w:r>
      <w:r w:rsidR="002D6283">
        <w:rPr>
          <w:rFonts w:ascii="Times New Roman" w:eastAsia="Calibri" w:hAnsi="Times New Roman" w:cs="Times New Roman"/>
          <w:color w:val="000000"/>
          <w:kern w:val="0"/>
          <w:sz w:val="24"/>
          <w:szCs w:val="24"/>
          <w:lang w:val="pt-PT"/>
          <w14:ligatures w14:val="none"/>
        </w:rPr>
        <w:t>m</w:t>
      </w:r>
      <w:r w:rsidRPr="00BA4689">
        <w:rPr>
          <w:rFonts w:ascii="Times New Roman" w:eastAsia="Calibri" w:hAnsi="Times New Roman" w:cs="Times New Roman"/>
          <w:color w:val="000000"/>
          <w:kern w:val="0"/>
          <w:sz w:val="24"/>
          <w:szCs w:val="24"/>
          <w:lang w:val="pt-PT"/>
          <w14:ligatures w14:val="none"/>
        </w:rPr>
        <w:t xml:space="preserve"> dos estereótipos sociais (</w:t>
      </w:r>
      <w:r w:rsidRPr="00BA4689">
        <w:rPr>
          <w:rFonts w:ascii="Times New Roman" w:eastAsia="Calibri" w:hAnsi="Times New Roman" w:cs="Times New Roman"/>
          <w:kern w:val="0"/>
          <w:sz w:val="24"/>
          <w:szCs w:val="24"/>
          <w:lang w:val="pt-PT"/>
          <w14:ligatures w14:val="none"/>
        </w:rPr>
        <w:t>Rossini, et. al., 1997</w:t>
      </w:r>
      <w:r w:rsidRPr="00BA4689">
        <w:rPr>
          <w:rFonts w:ascii="Times New Roman" w:eastAsia="Calibri" w:hAnsi="Times New Roman" w:cs="Times New Roman"/>
          <w:color w:val="000000"/>
          <w:kern w:val="0"/>
          <w:sz w:val="24"/>
          <w:szCs w:val="24"/>
          <w:lang w:val="pt-PT"/>
          <w14:ligatures w14:val="none"/>
        </w:rPr>
        <w:t>).</w:t>
      </w:r>
    </w:p>
    <w:p w14:paraId="7628E2FC" w14:textId="61D937FC"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 xml:space="preserve"> A contratação de educadores, como é o caso de um dos centros, não só permite a aprendizagem por observação e imitação, modelagem, vicariante na teoria de Bandura segundo De Carvalho e Petrich (2020), mas também o combate de regimes de desigualdades nas instituições conforme a teoria de Acker (2006), pois desconstrói os estereótipos de género nas profissões. Esta acção das gestoras responde em simultâneo a</w:t>
      </w:r>
      <w:r w:rsidR="0057273E">
        <w:rPr>
          <w:rFonts w:ascii="Times New Roman" w:eastAsia="Calibri" w:hAnsi="Times New Roman" w:cs="Times New Roman"/>
          <w:kern w:val="0"/>
          <w:sz w:val="24"/>
          <w:szCs w:val="24"/>
          <w:lang w:val="pt-PT"/>
          <w14:ligatures w14:val="none"/>
        </w:rPr>
        <w:t xml:space="preserve"> Política de Género e Estratégia de sua Implementação (</w:t>
      </w:r>
      <w:r w:rsidRPr="00BA4689">
        <w:rPr>
          <w:rFonts w:ascii="Times New Roman" w:eastAsia="Calibri" w:hAnsi="Times New Roman" w:cs="Times New Roman"/>
          <w:kern w:val="0"/>
          <w:sz w:val="24"/>
          <w:szCs w:val="24"/>
          <w:lang w:val="pt-PT"/>
          <w14:ligatures w14:val="none"/>
        </w:rPr>
        <w:t>PGEI</w:t>
      </w:r>
      <w:r w:rsidR="0057273E">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kern w:val="0"/>
          <w:sz w:val="24"/>
          <w:szCs w:val="24"/>
          <w:lang w:val="pt-PT"/>
          <w14:ligatures w14:val="none"/>
        </w:rPr>
        <w:t xml:space="preserve"> e aos guiões orientadores a promoção da igualdade e equidade de género na infância. </w:t>
      </w:r>
    </w:p>
    <w:p w14:paraId="413CF297" w14:textId="77777777" w:rsidR="00FD6945" w:rsidRDefault="00BA4689" w:rsidP="00FD6945">
      <w:pPr>
        <w:spacing w:after="200" w:line="360" w:lineRule="auto"/>
        <w:jc w:val="both"/>
        <w:outlineLvl w:val="2"/>
        <w:rPr>
          <w:rFonts w:ascii="Times New Roman" w:eastAsia="Calibri" w:hAnsi="Times New Roman" w:cs="Times New Roman"/>
          <w:b/>
          <w:bCs/>
          <w:color w:val="000000"/>
          <w:kern w:val="0"/>
          <w:sz w:val="24"/>
          <w:szCs w:val="24"/>
          <w:lang w:val="pt-PT"/>
          <w14:ligatures w14:val="none"/>
        </w:rPr>
      </w:pPr>
      <w:r w:rsidRPr="00BA4689">
        <w:rPr>
          <w:rFonts w:ascii="Times New Roman" w:eastAsia="Calibri" w:hAnsi="Times New Roman" w:cs="Times New Roman"/>
          <w:b/>
          <w:bCs/>
          <w:color w:val="000000"/>
          <w:kern w:val="0"/>
          <w:sz w:val="24"/>
          <w:szCs w:val="24"/>
          <w:lang w:val="pt-PT"/>
          <w14:ligatures w14:val="none"/>
        </w:rPr>
        <w:t>Profissionais de educação de infância por género</w:t>
      </w:r>
      <w:bookmarkEnd w:id="10"/>
    </w:p>
    <w:p w14:paraId="199C73C5" w14:textId="501142D0" w:rsidR="00BA4689" w:rsidRPr="00BA4689" w:rsidRDefault="00BA4689" w:rsidP="00FD6945">
      <w:pPr>
        <w:spacing w:after="200" w:line="360" w:lineRule="auto"/>
        <w:jc w:val="both"/>
        <w:outlineLvl w:val="2"/>
        <w:rPr>
          <w:rFonts w:ascii="Times New Roman" w:eastAsia="Calibri" w:hAnsi="Times New Roman" w:cs="Times New Roman"/>
          <w:b/>
          <w:bCs/>
          <w:color w:val="000000"/>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lastRenderedPageBreak/>
        <w:t>Nesta categoria visualiza-se profissionais responsáveis pela educação das crianças em termos de número e sua distribuição por género. As gestoras indicam a presença de uma maioria de educadoras do que educadores na educação das crianças. Onde nos quatro Centros Infantis um centro afirma que já teve um educador, outro indica a existência de um, contudo pela COVID-19, este encontrava-se no grupo de profissionais que se encontrava em casa. Os outros dois centros nunca tiveram educadores. As gestoras colocam razões para tal como a profissão não ser adequada para homens, falta de interesse por parte dos próprios homens, falta de competências dos mesmos até reacções negativas ou mesmo repulsa por parte dos pais à presença de educadores como parte do elenco de educação e cuidado das crianças. Os pais apresentam diversos argumentos tais como temer violações das crianças meninas, entre outros que se visualizam nos estratos abaixo. colocação é suportada pelas seguintes falas das participantes:</w:t>
      </w:r>
    </w:p>
    <w:p w14:paraId="22121B8B" w14:textId="77777777" w:rsidR="00BA4689" w:rsidRPr="00BA4689" w:rsidRDefault="00BA4689" w:rsidP="00BA4689">
      <w:pPr>
        <w:spacing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i/>
          <w:iCs/>
          <w:kern w:val="0"/>
          <w:sz w:val="24"/>
          <w:szCs w:val="24"/>
          <w:lang w:val="pt-PT"/>
          <w14:ligatures w14:val="none"/>
        </w:rPr>
        <w:t>“…no total são onze educadoras, todas educadoras. Educadores têm feito este curso, maji acabam fugindo um pouco, porque na realidade não é fácil um homem atender crianças...</w:t>
      </w:r>
      <w:r w:rsidRPr="00BA4689">
        <w:rPr>
          <w:rFonts w:ascii="Calibri" w:eastAsia="Calibri" w:hAnsi="Calibri" w:cs="Times New Roman"/>
          <w:kern w:val="0"/>
          <w:lang w:val="pt-PT"/>
          <w14:ligatures w14:val="none"/>
        </w:rPr>
        <w:t xml:space="preserve"> </w:t>
      </w:r>
      <w:r w:rsidRPr="00BA4689">
        <w:rPr>
          <w:rFonts w:ascii="Times New Roman" w:eastAsia="Calibri" w:hAnsi="Times New Roman" w:cs="Times New Roman"/>
          <w:i/>
          <w:iCs/>
          <w:kern w:val="0"/>
          <w:sz w:val="24"/>
          <w:szCs w:val="24"/>
          <w:lang w:val="pt-PT"/>
          <w14:ligatures w14:val="none"/>
        </w:rPr>
        <w:t>os pais são eles mesmos os primeiros a reclamar. Há alguns pais que não gostam de encontrar um educador com crianças femininas...porque todo o cuidado é pouco, todo o mal aparece na pessoa, no coração da pessoa…”</w:t>
      </w:r>
      <w:r w:rsidRPr="00BA4689">
        <w:rPr>
          <w:rFonts w:ascii="Times New Roman" w:eastAsia="Calibri" w:hAnsi="Times New Roman" w:cs="Times New Roman"/>
          <w:kern w:val="0"/>
          <w:sz w:val="24"/>
          <w:szCs w:val="24"/>
          <w:lang w:val="pt-PT"/>
          <w14:ligatures w14:val="none"/>
        </w:rPr>
        <w:t xml:space="preserve"> (</w:t>
      </w:r>
      <w:r w:rsidRPr="00BA4689">
        <w:rPr>
          <w:rFonts w:ascii="Times New Roman" w:eastAsia="Calibri" w:hAnsi="Times New Roman" w:cs="Times New Roman"/>
          <w:b/>
          <w:kern w:val="0"/>
          <w:lang w:val="pt-PT"/>
          <w14:ligatures w14:val="none"/>
        </w:rPr>
        <w:t>CI1G2</w:t>
      </w:r>
      <w:r w:rsidRPr="00BA4689">
        <w:rPr>
          <w:rFonts w:ascii="Times New Roman" w:eastAsia="Calibri" w:hAnsi="Times New Roman" w:cs="Times New Roman"/>
          <w:kern w:val="0"/>
          <w:sz w:val="24"/>
          <w:szCs w:val="24"/>
          <w:lang w:val="pt-PT"/>
          <w14:ligatures w14:val="none"/>
        </w:rPr>
        <w:t>)</w:t>
      </w:r>
    </w:p>
    <w:p w14:paraId="36258263" w14:textId="77777777" w:rsidR="00BA4689" w:rsidRPr="00BA4689" w:rsidRDefault="00BA4689" w:rsidP="00BA4689">
      <w:pPr>
        <w:spacing w:before="240" w:after="200" w:line="360" w:lineRule="auto"/>
        <w:jc w:val="both"/>
        <w:rPr>
          <w:rFonts w:ascii="Times New Roman" w:eastAsia="Calibri" w:hAnsi="Times New Roman" w:cs="Times New Roman"/>
          <w:kern w:val="0"/>
          <w:sz w:val="26"/>
          <w:szCs w:val="26"/>
          <w:lang w:val="pt-PT"/>
          <w14:ligatures w14:val="none"/>
        </w:rPr>
      </w:pPr>
      <w:r w:rsidRPr="00BA4689">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i/>
          <w:iCs/>
          <w:kern w:val="0"/>
          <w:sz w:val="24"/>
          <w:szCs w:val="24"/>
          <w:lang w:val="pt-PT"/>
          <w14:ligatures w14:val="none"/>
        </w:rPr>
        <w:t>No geral nós temos 19 educadoras… mas nós aqui trabalhamos mais com educadoras, é a nossa política... mas nós trabalhamos mais com o género. O cuidado é mais feminino que masculino para desfraldagem. Acho que a mulher está preparada mesmo para cuidar desta situação de crianças (risos)</w:t>
      </w:r>
      <w:r w:rsidRPr="00BA4689">
        <w:rPr>
          <w:rFonts w:ascii="Times New Roman" w:eastAsia="Calibri" w:hAnsi="Times New Roman" w:cs="Times New Roman"/>
          <w:kern w:val="0"/>
          <w:sz w:val="24"/>
          <w:szCs w:val="24"/>
          <w:lang w:val="pt-PT"/>
          <w14:ligatures w14:val="none"/>
        </w:rPr>
        <w:t xml:space="preserve">.” </w:t>
      </w:r>
      <w:r w:rsidRPr="00BA4689">
        <w:rPr>
          <w:rFonts w:ascii="Times New Roman" w:eastAsia="Calibri" w:hAnsi="Times New Roman" w:cs="Times New Roman"/>
          <w:kern w:val="0"/>
          <w:sz w:val="26"/>
          <w:szCs w:val="26"/>
          <w:lang w:val="pt-PT"/>
          <w14:ligatures w14:val="none"/>
        </w:rPr>
        <w:t>(</w:t>
      </w:r>
      <w:r w:rsidRPr="00BA4689">
        <w:rPr>
          <w:rFonts w:ascii="Times New Roman" w:eastAsia="Calibri" w:hAnsi="Times New Roman" w:cs="Times New Roman"/>
          <w:b/>
          <w:bCs/>
          <w:kern w:val="0"/>
          <w:sz w:val="24"/>
          <w:szCs w:val="24"/>
          <w:lang w:val="pt-PT"/>
          <w14:ligatures w14:val="none"/>
        </w:rPr>
        <w:t>CI3G1</w:t>
      </w:r>
      <w:r w:rsidRPr="00BA4689">
        <w:rPr>
          <w:rFonts w:ascii="Times New Roman" w:eastAsia="Calibri" w:hAnsi="Times New Roman" w:cs="Times New Roman"/>
          <w:kern w:val="0"/>
          <w:sz w:val="26"/>
          <w:szCs w:val="26"/>
          <w:lang w:val="pt-PT"/>
          <w14:ligatures w14:val="none"/>
        </w:rPr>
        <w:t>)</w:t>
      </w:r>
    </w:p>
    <w:p w14:paraId="3E7F851A" w14:textId="77777777" w:rsidR="00BA4689" w:rsidRPr="00BA4689" w:rsidRDefault="00BA4689" w:rsidP="00BA4689">
      <w:pPr>
        <w:spacing w:before="240" w:after="200" w:line="360" w:lineRule="auto"/>
        <w:jc w:val="both"/>
        <w:rPr>
          <w:rFonts w:ascii="Times New Roman" w:eastAsia="Calibri" w:hAnsi="Times New Roman" w:cs="Times New Roman"/>
          <w:kern w:val="0"/>
          <w:sz w:val="24"/>
          <w:szCs w:val="24"/>
          <w:lang w:val="pt-PT"/>
          <w14:ligatures w14:val="none"/>
        </w:rPr>
      </w:pPr>
      <w:r w:rsidRPr="00BA4689">
        <w:rPr>
          <w:rFonts w:ascii="Times New Roman" w:eastAsia="Calibri" w:hAnsi="Times New Roman" w:cs="Times New Roman"/>
          <w:kern w:val="0"/>
          <w:sz w:val="24"/>
          <w:szCs w:val="24"/>
          <w:lang w:val="pt-PT"/>
          <w14:ligatures w14:val="none"/>
        </w:rPr>
        <w:t>“</w:t>
      </w:r>
      <w:r w:rsidRPr="00BA4689">
        <w:rPr>
          <w:rFonts w:ascii="Times New Roman" w:eastAsia="Calibri" w:hAnsi="Times New Roman" w:cs="Times New Roman"/>
          <w:i/>
          <w:iCs/>
          <w:kern w:val="0"/>
          <w:sz w:val="24"/>
          <w:szCs w:val="24"/>
          <w:lang w:val="pt-PT"/>
          <w14:ligatures w14:val="none"/>
        </w:rPr>
        <w:t>Então talvez é essa parte que os homens em si, eles excluem-se ‘eh, eu trabalhar num centro infantil, vão dizer que sou matreco’ … os pais quando chegam a ouvir de que na sala tem um educador, … eiiiih foi um problema. ‘Esta a fazer o que esse mano aqui’ ...‘Não, não pode sentar aqui em frente das crianças’… para aquele pai, não foi possível, não foi possível, tivemos que, tiveram que tirar o tal colega lá já não entrar na parte das crianças, passar a fazer as actividades noutra área. O problema porque encontrou aquele educador, aquele colega no repouso então pensou que lá que está a ficar ali com as crianças, é porque alguma coisa (de mal) vai fazer</w:t>
      </w:r>
      <w:r w:rsidRPr="00BA4689">
        <w:rPr>
          <w:rFonts w:ascii="Times New Roman" w:eastAsia="Calibri" w:hAnsi="Times New Roman" w:cs="Times New Roman"/>
          <w:kern w:val="0"/>
          <w:sz w:val="24"/>
          <w:szCs w:val="24"/>
          <w:lang w:val="pt-PT"/>
          <w14:ligatures w14:val="none"/>
        </w:rPr>
        <w:t>…”</w:t>
      </w:r>
      <w:r w:rsidRPr="00BA4689">
        <w:rPr>
          <w:rFonts w:ascii="Calibri" w:eastAsia="Calibri" w:hAnsi="Calibri" w:cs="Times New Roman"/>
          <w:kern w:val="0"/>
          <w:lang w:val="pt-PT"/>
          <w14:ligatures w14:val="none"/>
        </w:rPr>
        <w:t xml:space="preserve"> (</w:t>
      </w:r>
      <w:r w:rsidRPr="00BA4689">
        <w:rPr>
          <w:rFonts w:ascii="Times New Roman" w:eastAsia="Calibri" w:hAnsi="Times New Roman" w:cs="Times New Roman"/>
          <w:b/>
          <w:bCs/>
          <w:kern w:val="0"/>
          <w:sz w:val="24"/>
          <w:szCs w:val="24"/>
          <w:lang w:val="pt-PT"/>
          <w14:ligatures w14:val="none"/>
        </w:rPr>
        <w:t>CI1G1</w:t>
      </w:r>
      <w:r w:rsidRPr="00BA4689">
        <w:rPr>
          <w:rFonts w:ascii="Times New Roman" w:eastAsia="Calibri" w:hAnsi="Times New Roman" w:cs="Times New Roman"/>
          <w:kern w:val="0"/>
          <w:sz w:val="24"/>
          <w:szCs w:val="24"/>
          <w:lang w:val="pt-PT"/>
          <w14:ligatures w14:val="none"/>
        </w:rPr>
        <w:t>)</w:t>
      </w:r>
    </w:p>
    <w:p w14:paraId="3D21FDDA"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 xml:space="preserve">As revelações desta categoria trazem várias inquietações para uma situação em que as gestoras demonstravam conhecimento e consciência da igualdade e equidade de género, assim </w:t>
      </w:r>
      <w:r w:rsidRPr="00BA4689">
        <w:rPr>
          <w:rFonts w:ascii="Times New Roman" w:eastAsia="Calibri" w:hAnsi="Times New Roman" w:cs="Times New Roman"/>
          <w:color w:val="000000"/>
          <w:kern w:val="0"/>
          <w:sz w:val="24"/>
          <w:szCs w:val="24"/>
          <w:lang w:val="pt-PT"/>
          <w14:ligatures w14:val="none"/>
        </w:rPr>
        <w:lastRenderedPageBreak/>
        <w:t xml:space="preserve">como a perspectiva social sobre profissionais para a educação de infância. A contratação de profissionais corresponde a expectativa da gestão dos centros conforme as falas atestam, assim como a visão social. Este panorama pode afectar negativamente a promoção da igualdade e equidade de género na infância nestes centros, na média em que esta perspectiva da gestão que coaduna com dos pais e mães das crianças não permite que, primeiro que haja igualdade no que concerne a profissionais e em segundo não proporciona modelos de profissionais homens para as crianças conforme defende a teoria de Socio-cognitiva de Bandura. Segundo esta, a aprendizagem por observação e imitação de pessoas significativas que servem como modelos (De Carvalho e Petrich, 2020). </w:t>
      </w:r>
    </w:p>
    <w:p w14:paraId="5C147201"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17667A17" w14:textId="4292670C"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 xml:space="preserve">Beck (2006) enfatiza que os modelos têm grande impacto para aprendizagem, principalmente na infância ou nos primeiros anos de vida. Neste caso, os centros pecam por oferecer modelos femininos como os únicos que podem ser profissionais de educação de infância. Ainda que haja um esforço, pois há um centro que tinha um educador, mas é ínfimo para o contexto. Para Vygotsky a aprendizagem decorre da interacção que o sujeito vai tendo com o outro mais experiente e é nestas interacções que consegue desenvolver as suas potencialidades e internaliza as vivencias que vão o orientar no futuro (Matta, 2001). Neste caso as crianças vão aprendendo e internalizando que na educação de infância só podem estar educadoras e não educadores. A visão das gestoras está impregnada dos manuais usadas para a educação da infância que de alguma forma defendem a sua perspectiva, apesar da PGEI orientar o contrário. E de algum modo, até a gestão dos centros é influenciada, </w:t>
      </w:r>
      <w:r w:rsidR="00FD6945">
        <w:rPr>
          <w:rFonts w:ascii="Times New Roman" w:eastAsia="Calibri" w:hAnsi="Times New Roman" w:cs="Times New Roman"/>
          <w:color w:val="000000"/>
          <w:kern w:val="0"/>
          <w:sz w:val="24"/>
          <w:szCs w:val="24"/>
          <w:lang w:val="pt-PT"/>
          <w14:ligatures w14:val="none"/>
        </w:rPr>
        <w:t>n</w:t>
      </w:r>
      <w:r w:rsidRPr="00BA4689">
        <w:rPr>
          <w:rFonts w:ascii="Times New Roman" w:eastAsia="Calibri" w:hAnsi="Times New Roman" w:cs="Times New Roman"/>
          <w:color w:val="000000"/>
          <w:kern w:val="0"/>
          <w:sz w:val="24"/>
          <w:szCs w:val="24"/>
          <w:lang w:val="pt-PT"/>
          <w14:ligatures w14:val="none"/>
        </w:rPr>
        <w:t>a medida em que estes centros só tem gestoras.</w:t>
      </w:r>
    </w:p>
    <w:p w14:paraId="51668325"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64C20485" w14:textId="59EC2686"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Quando se tem a mulher como a mais indicada para profissional de educação de infância e de facto se contratar educadoras e em pequena escala educador</w:t>
      </w:r>
      <w:r w:rsidR="002D6283">
        <w:rPr>
          <w:rFonts w:ascii="Times New Roman" w:eastAsia="Calibri" w:hAnsi="Times New Roman" w:cs="Times New Roman"/>
          <w:color w:val="000000"/>
          <w:kern w:val="0"/>
          <w:sz w:val="24"/>
          <w:szCs w:val="24"/>
          <w:lang w:val="pt-PT"/>
          <w14:ligatures w14:val="none"/>
        </w:rPr>
        <w:t>e</w:t>
      </w:r>
      <w:r w:rsidRPr="00BA4689">
        <w:rPr>
          <w:rFonts w:ascii="Times New Roman" w:eastAsia="Calibri" w:hAnsi="Times New Roman" w:cs="Times New Roman"/>
          <w:color w:val="000000"/>
          <w:kern w:val="0"/>
          <w:sz w:val="24"/>
          <w:szCs w:val="24"/>
          <w:lang w:val="pt-PT"/>
          <w14:ligatures w14:val="none"/>
        </w:rPr>
        <w:t xml:space="preserve">s, assim como o facto de os centros terem apenas gestão feminina, por um lado faz com que sejam instituições que perpetuam regimes de desigualdades e bloqueiem a promoção da igualdade e equidade de género na infância como defende a teoria de Regime de Desigualdades ao se mencionar a questão de profissões mais adequadas para mulheres como a de educadora ou para homens que esta não faz parte (Acker, 2006). Por outro lado, faz com que exista uma injustiça epistémica da teoria de (Fricker, 2007), na medida em que não concede as crianças uma visão holística do contexto de aprendizagem em que homens e mulheres possam estar na gestão ou como profissionais de educação de infância, mas apenas indicando a parte feminina como a mais adequada. </w:t>
      </w:r>
    </w:p>
    <w:p w14:paraId="0234599B" w14:textId="77777777" w:rsidR="00BA4689" w:rsidRP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2D5E4961" w14:textId="77777777" w:rsidR="00BA4689" w:rsidRDefault="00BA4689"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sidRPr="00BA4689">
        <w:rPr>
          <w:rFonts w:ascii="Times New Roman" w:eastAsia="Calibri" w:hAnsi="Times New Roman" w:cs="Times New Roman"/>
          <w:color w:val="000000"/>
          <w:kern w:val="0"/>
          <w:sz w:val="24"/>
          <w:szCs w:val="24"/>
          <w:lang w:val="pt-PT"/>
          <w14:ligatures w14:val="none"/>
        </w:rPr>
        <w:t>A visão aqui indicada dos pais, apela para a implementação das orientações do PGEI sobre, além de rever os curricula, envolver progenitores e a sociedade no geral como forma de haver uma acção conjunta e consentânea na educação das crianças (República de Moçambique, 2020). Esta directiva coaduna com as de Rossini, et. al. (1997) e Cardona, et. al. (2015) que também defendem não só o trabalho com os materiais orientadores, mas também a questão do envolvimento da família e da sociedade no geral.</w:t>
      </w:r>
    </w:p>
    <w:p w14:paraId="7DE5377F" w14:textId="77777777" w:rsidR="00FD6945" w:rsidRDefault="00FD6945"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3C97613F" w14:textId="77777777" w:rsidR="008353C1" w:rsidRDefault="008353C1"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5032ACF0" w14:textId="65D21DF0" w:rsidR="00FD6945" w:rsidRPr="00FD6945" w:rsidRDefault="00FD6945" w:rsidP="00BA4689">
      <w:pPr>
        <w:spacing w:after="200" w:line="360" w:lineRule="auto"/>
        <w:contextualSpacing/>
        <w:jc w:val="both"/>
        <w:rPr>
          <w:rFonts w:ascii="Times New Roman" w:eastAsia="Calibri" w:hAnsi="Times New Roman" w:cs="Times New Roman"/>
          <w:b/>
          <w:bCs/>
          <w:color w:val="000000"/>
          <w:kern w:val="0"/>
          <w:sz w:val="24"/>
          <w:szCs w:val="24"/>
          <w:lang w:val="pt-PT"/>
          <w14:ligatures w14:val="none"/>
        </w:rPr>
      </w:pPr>
      <w:r w:rsidRPr="00FD6945">
        <w:rPr>
          <w:rFonts w:ascii="Times New Roman" w:eastAsia="Calibri" w:hAnsi="Times New Roman" w:cs="Times New Roman"/>
          <w:b/>
          <w:bCs/>
          <w:color w:val="000000"/>
          <w:kern w:val="0"/>
          <w:sz w:val="24"/>
          <w:szCs w:val="24"/>
          <w:lang w:val="pt-PT"/>
          <w14:ligatures w14:val="none"/>
        </w:rPr>
        <w:t>Conclusões</w:t>
      </w:r>
    </w:p>
    <w:p w14:paraId="0A3DE82F" w14:textId="1B74E7A0" w:rsidR="00FD6945" w:rsidRDefault="002D5FD1"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r>
        <w:rPr>
          <w:rFonts w:ascii="Times New Roman" w:eastAsia="Calibri" w:hAnsi="Times New Roman" w:cs="Times New Roman"/>
          <w:color w:val="000000"/>
          <w:kern w:val="0"/>
          <w:sz w:val="24"/>
          <w:szCs w:val="24"/>
          <w:lang w:val="pt-PT"/>
          <w14:ligatures w14:val="none"/>
        </w:rPr>
        <w:t xml:space="preserve">O estudo </w:t>
      </w:r>
      <w:r w:rsidR="004006E1">
        <w:rPr>
          <w:rFonts w:ascii="Times New Roman" w:eastAsia="Calibri" w:hAnsi="Times New Roman" w:cs="Times New Roman"/>
          <w:color w:val="000000"/>
          <w:kern w:val="0"/>
          <w:sz w:val="24"/>
          <w:szCs w:val="24"/>
          <w:lang w:val="pt-PT"/>
          <w14:ligatures w14:val="none"/>
        </w:rPr>
        <w:t>foi re</w:t>
      </w:r>
      <w:r w:rsidR="000F210C">
        <w:rPr>
          <w:rFonts w:ascii="Times New Roman" w:eastAsia="Calibri" w:hAnsi="Times New Roman" w:cs="Times New Roman"/>
          <w:color w:val="000000"/>
          <w:kern w:val="0"/>
          <w:sz w:val="24"/>
          <w:szCs w:val="24"/>
          <w:lang w:val="pt-PT"/>
          <w14:ligatures w14:val="none"/>
        </w:rPr>
        <w:t xml:space="preserve">alizado com vista a </w:t>
      </w:r>
      <w:r w:rsidR="002D6283">
        <w:rPr>
          <w:rFonts w:ascii="Times New Roman" w:eastAsia="Calibri" w:hAnsi="Times New Roman" w:cs="Times New Roman"/>
          <w:color w:val="000000"/>
          <w:kern w:val="0"/>
          <w:sz w:val="24"/>
          <w:szCs w:val="24"/>
          <w:lang w:val="pt-PT"/>
          <w14:ligatures w14:val="none"/>
        </w:rPr>
        <w:t>análise</w:t>
      </w:r>
      <w:r w:rsidR="000F210C">
        <w:rPr>
          <w:rFonts w:ascii="Times New Roman" w:eastAsia="Calibri" w:hAnsi="Times New Roman" w:cs="Times New Roman"/>
          <w:color w:val="000000"/>
          <w:kern w:val="0"/>
          <w:sz w:val="24"/>
          <w:szCs w:val="24"/>
          <w:lang w:val="pt-PT"/>
          <w14:ligatures w14:val="none"/>
        </w:rPr>
        <w:t xml:space="preserve"> das práticas</w:t>
      </w:r>
      <w:r w:rsidR="0088765E">
        <w:rPr>
          <w:rFonts w:ascii="Times New Roman" w:eastAsia="Calibri" w:hAnsi="Times New Roman" w:cs="Times New Roman"/>
          <w:color w:val="000000"/>
          <w:kern w:val="0"/>
          <w:sz w:val="24"/>
          <w:szCs w:val="24"/>
          <w:lang w:val="pt-PT"/>
          <w14:ligatures w14:val="none"/>
        </w:rPr>
        <w:t xml:space="preserve"> educativas</w:t>
      </w:r>
      <w:r w:rsidR="000F210C">
        <w:rPr>
          <w:rFonts w:ascii="Times New Roman" w:eastAsia="Calibri" w:hAnsi="Times New Roman" w:cs="Times New Roman"/>
          <w:color w:val="000000"/>
          <w:kern w:val="0"/>
          <w:sz w:val="24"/>
          <w:szCs w:val="24"/>
          <w:lang w:val="pt-PT"/>
          <w14:ligatures w14:val="none"/>
        </w:rPr>
        <w:t xml:space="preserve"> das gestoras de quatro instituições de educação de infância (Centros Infantis) para a promoção da igualdade de género na infância</w:t>
      </w:r>
      <w:r w:rsidR="0088765E">
        <w:rPr>
          <w:rFonts w:ascii="Times New Roman" w:eastAsia="Calibri" w:hAnsi="Times New Roman" w:cs="Times New Roman"/>
          <w:color w:val="000000"/>
          <w:kern w:val="0"/>
          <w:sz w:val="24"/>
          <w:szCs w:val="24"/>
          <w:lang w:val="pt-PT"/>
          <w14:ligatures w14:val="none"/>
        </w:rPr>
        <w:t xml:space="preserve"> na Cidade de Maputo</w:t>
      </w:r>
      <w:r w:rsidR="000F210C">
        <w:rPr>
          <w:rFonts w:ascii="Times New Roman" w:eastAsia="Calibri" w:hAnsi="Times New Roman" w:cs="Times New Roman"/>
          <w:color w:val="000000"/>
          <w:kern w:val="0"/>
          <w:sz w:val="24"/>
          <w:szCs w:val="24"/>
          <w:lang w:val="pt-PT"/>
          <w14:ligatures w14:val="none"/>
        </w:rPr>
        <w:t xml:space="preserve">. </w:t>
      </w:r>
    </w:p>
    <w:p w14:paraId="686F6A4C" w14:textId="3F9F9903" w:rsidR="000F210C" w:rsidRPr="00BA4689" w:rsidRDefault="000F210C" w:rsidP="00BA4689">
      <w:pPr>
        <w:spacing w:after="200" w:line="360" w:lineRule="auto"/>
        <w:contextualSpacing/>
        <w:jc w:val="both"/>
        <w:rPr>
          <w:rFonts w:ascii="Times New Roman" w:eastAsia="Calibri" w:hAnsi="Times New Roman" w:cs="Times New Roman"/>
          <w:color w:val="000000"/>
          <w:kern w:val="0"/>
          <w:sz w:val="24"/>
          <w:szCs w:val="24"/>
          <w:lang w:val="pt-PT"/>
          <w14:ligatures w14:val="none"/>
        </w:rPr>
      </w:pPr>
    </w:p>
    <w:p w14:paraId="52EAB205" w14:textId="410B749B" w:rsidR="00094E74" w:rsidRDefault="000F210C"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As gestoras apresentam-se como conhecedoras do que seja a igualdade de género, fazendo referência a </w:t>
      </w:r>
      <w:r w:rsidRPr="000F210C">
        <w:rPr>
          <w:rFonts w:ascii="Times New Roman" w:hAnsi="Times New Roman" w:cs="Times New Roman"/>
          <w:sz w:val="24"/>
          <w:szCs w:val="24"/>
          <w:lang w:val="pt-PT"/>
        </w:rPr>
        <w:t xml:space="preserve">concepções </w:t>
      </w:r>
      <w:r>
        <w:rPr>
          <w:rFonts w:ascii="Times New Roman" w:hAnsi="Times New Roman" w:cs="Times New Roman"/>
          <w:sz w:val="24"/>
          <w:szCs w:val="24"/>
          <w:lang w:val="pt-PT"/>
        </w:rPr>
        <w:t xml:space="preserve">como significando </w:t>
      </w:r>
      <w:r w:rsidRPr="000F210C">
        <w:rPr>
          <w:rFonts w:ascii="Times New Roman" w:hAnsi="Times New Roman" w:cs="Times New Roman"/>
          <w:sz w:val="24"/>
          <w:szCs w:val="24"/>
          <w:lang w:val="pt-PT"/>
        </w:rPr>
        <w:t>direitos iguais entre homens e mulheres</w:t>
      </w:r>
      <w:r>
        <w:rPr>
          <w:rFonts w:ascii="Times New Roman" w:hAnsi="Times New Roman" w:cs="Times New Roman"/>
          <w:sz w:val="24"/>
          <w:szCs w:val="24"/>
          <w:lang w:val="pt-PT"/>
        </w:rPr>
        <w:t xml:space="preserve"> ou acesso a mesmas oportunidades</w:t>
      </w:r>
      <w:r w:rsidR="00AB2EFD">
        <w:rPr>
          <w:rFonts w:ascii="Times New Roman" w:hAnsi="Times New Roman" w:cs="Times New Roman"/>
          <w:sz w:val="24"/>
          <w:szCs w:val="24"/>
          <w:lang w:val="pt-PT"/>
        </w:rPr>
        <w:t xml:space="preserve"> por um lado</w:t>
      </w:r>
      <w:r w:rsidRPr="000F210C">
        <w:rPr>
          <w:rFonts w:ascii="Times New Roman" w:hAnsi="Times New Roman" w:cs="Times New Roman"/>
          <w:sz w:val="24"/>
          <w:szCs w:val="24"/>
          <w:lang w:val="pt-PT"/>
        </w:rPr>
        <w:t>, a realização conjunta das tarefas domésticas, a contratação de educadoras e educadores</w:t>
      </w:r>
      <w:r w:rsidR="00AB2EFD">
        <w:rPr>
          <w:rFonts w:ascii="Times New Roman" w:hAnsi="Times New Roman" w:cs="Times New Roman"/>
          <w:sz w:val="24"/>
          <w:szCs w:val="24"/>
          <w:lang w:val="pt-PT"/>
        </w:rPr>
        <w:t xml:space="preserve"> nos centros infantis por outro lado. As noções vão mais fundo ao permitir que as gestoras </w:t>
      </w:r>
      <w:r w:rsidRPr="000F210C">
        <w:rPr>
          <w:rFonts w:ascii="Times New Roman" w:hAnsi="Times New Roman" w:cs="Times New Roman"/>
          <w:sz w:val="24"/>
          <w:szCs w:val="24"/>
          <w:lang w:val="pt-PT"/>
        </w:rPr>
        <w:t>an</w:t>
      </w:r>
      <w:r w:rsidR="00AB2EFD">
        <w:rPr>
          <w:rFonts w:ascii="Times New Roman" w:hAnsi="Times New Roman" w:cs="Times New Roman"/>
          <w:sz w:val="24"/>
          <w:szCs w:val="24"/>
          <w:lang w:val="pt-PT"/>
        </w:rPr>
        <w:t>a</w:t>
      </w:r>
      <w:r w:rsidRPr="000F210C">
        <w:rPr>
          <w:rFonts w:ascii="Times New Roman" w:hAnsi="Times New Roman" w:cs="Times New Roman"/>
          <w:sz w:val="24"/>
          <w:szCs w:val="24"/>
          <w:lang w:val="pt-PT"/>
        </w:rPr>
        <w:t>lise</w:t>
      </w:r>
      <w:r w:rsidR="00AB2EFD">
        <w:rPr>
          <w:rFonts w:ascii="Times New Roman" w:hAnsi="Times New Roman" w:cs="Times New Roman"/>
          <w:sz w:val="24"/>
          <w:szCs w:val="24"/>
          <w:lang w:val="pt-PT"/>
        </w:rPr>
        <w:t xml:space="preserve">m </w:t>
      </w:r>
      <w:r w:rsidRPr="000F210C">
        <w:rPr>
          <w:rFonts w:ascii="Times New Roman" w:hAnsi="Times New Roman" w:cs="Times New Roman"/>
          <w:sz w:val="24"/>
          <w:szCs w:val="24"/>
          <w:lang w:val="pt-PT"/>
        </w:rPr>
        <w:t>as suas vivências na infância e perceb</w:t>
      </w:r>
      <w:r w:rsidR="00AB2EFD">
        <w:rPr>
          <w:rFonts w:ascii="Times New Roman" w:hAnsi="Times New Roman" w:cs="Times New Roman"/>
          <w:sz w:val="24"/>
          <w:szCs w:val="24"/>
          <w:lang w:val="pt-PT"/>
        </w:rPr>
        <w:t>am</w:t>
      </w:r>
      <w:r w:rsidRPr="000F210C">
        <w:rPr>
          <w:rFonts w:ascii="Times New Roman" w:hAnsi="Times New Roman" w:cs="Times New Roman"/>
          <w:sz w:val="24"/>
          <w:szCs w:val="24"/>
          <w:lang w:val="pt-PT"/>
        </w:rPr>
        <w:t xml:space="preserve"> estas questões como alívio do sofrimento passado por si ou pelas </w:t>
      </w:r>
      <w:r w:rsidR="00AB2EFD">
        <w:rPr>
          <w:rFonts w:ascii="Times New Roman" w:hAnsi="Times New Roman" w:cs="Times New Roman"/>
          <w:sz w:val="24"/>
          <w:szCs w:val="24"/>
          <w:lang w:val="pt-PT"/>
        </w:rPr>
        <w:t xml:space="preserve">suas </w:t>
      </w:r>
      <w:r w:rsidRPr="000F210C">
        <w:rPr>
          <w:rFonts w:ascii="Times New Roman" w:hAnsi="Times New Roman" w:cs="Times New Roman"/>
          <w:sz w:val="24"/>
          <w:szCs w:val="24"/>
          <w:lang w:val="pt-PT"/>
        </w:rPr>
        <w:t>mães.</w:t>
      </w:r>
      <w:r w:rsidR="00AB2EFD">
        <w:rPr>
          <w:rFonts w:ascii="Times New Roman" w:hAnsi="Times New Roman" w:cs="Times New Roman"/>
          <w:sz w:val="24"/>
          <w:szCs w:val="24"/>
          <w:lang w:val="pt-PT"/>
        </w:rPr>
        <w:t xml:space="preserve"> Estas consideram também relevante a integração da promoção da igualdade de género desde a infância como uma ferramenta para </w:t>
      </w:r>
      <w:r w:rsidR="0091142E">
        <w:rPr>
          <w:rFonts w:ascii="Times New Roman" w:hAnsi="Times New Roman" w:cs="Times New Roman"/>
          <w:sz w:val="24"/>
          <w:szCs w:val="24"/>
          <w:lang w:val="pt-PT"/>
        </w:rPr>
        <w:t>futuras relações sociais igualitárias. Contudo, apresentam-se também gestoras com uma posição ambígua em relação as concepções, a relevância sobre promoção da igualdade de género na infância. Esta situação verifica-se quando estas trazem a questão dos direitos iguais entre homens e mulheres e no mesmo contexto referir que “o homem tem o seu papel e a mulher tem o seu papel” o que conduz a concepção social e cultural dos papeis.</w:t>
      </w:r>
    </w:p>
    <w:p w14:paraId="6662E8FB" w14:textId="4FD06497" w:rsidR="0091142E" w:rsidRDefault="007533B7"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As outras </w:t>
      </w:r>
      <w:r w:rsidR="00462C66">
        <w:rPr>
          <w:rFonts w:ascii="Times New Roman" w:hAnsi="Times New Roman" w:cs="Times New Roman"/>
          <w:sz w:val="24"/>
          <w:szCs w:val="24"/>
          <w:lang w:val="pt-PT"/>
        </w:rPr>
        <w:t>práticas</w:t>
      </w:r>
      <w:r>
        <w:rPr>
          <w:rFonts w:ascii="Times New Roman" w:hAnsi="Times New Roman" w:cs="Times New Roman"/>
          <w:sz w:val="24"/>
          <w:szCs w:val="24"/>
          <w:lang w:val="pt-PT"/>
        </w:rPr>
        <w:t xml:space="preserve"> estão relacionadas a como </w:t>
      </w:r>
      <w:r w:rsidR="0091142E">
        <w:rPr>
          <w:rFonts w:ascii="Times New Roman" w:hAnsi="Times New Roman" w:cs="Times New Roman"/>
          <w:sz w:val="24"/>
          <w:szCs w:val="24"/>
          <w:lang w:val="pt-PT"/>
        </w:rPr>
        <w:t xml:space="preserve">as gestoras implementam a </w:t>
      </w:r>
      <w:r w:rsidR="00192BA0">
        <w:rPr>
          <w:rFonts w:ascii="Times New Roman" w:hAnsi="Times New Roman" w:cs="Times New Roman"/>
          <w:sz w:val="24"/>
          <w:szCs w:val="24"/>
          <w:lang w:val="pt-PT"/>
        </w:rPr>
        <w:t>promoção</w:t>
      </w:r>
      <w:r w:rsidR="0091142E">
        <w:rPr>
          <w:rFonts w:ascii="Times New Roman" w:hAnsi="Times New Roman" w:cs="Times New Roman"/>
          <w:sz w:val="24"/>
          <w:szCs w:val="24"/>
          <w:lang w:val="pt-PT"/>
        </w:rPr>
        <w:t xml:space="preserve"> da igualdade de </w:t>
      </w:r>
      <w:r w:rsidR="00192BA0">
        <w:rPr>
          <w:rFonts w:ascii="Times New Roman" w:hAnsi="Times New Roman" w:cs="Times New Roman"/>
          <w:sz w:val="24"/>
          <w:szCs w:val="24"/>
          <w:lang w:val="pt-PT"/>
        </w:rPr>
        <w:t>género</w:t>
      </w:r>
      <w:r w:rsidR="0091142E">
        <w:rPr>
          <w:rFonts w:ascii="Times New Roman" w:hAnsi="Times New Roman" w:cs="Times New Roman"/>
          <w:sz w:val="24"/>
          <w:szCs w:val="24"/>
          <w:lang w:val="pt-PT"/>
        </w:rPr>
        <w:t xml:space="preserve"> na educação de infância</w:t>
      </w:r>
      <w:r>
        <w:rPr>
          <w:rFonts w:ascii="Times New Roman" w:hAnsi="Times New Roman" w:cs="Times New Roman"/>
          <w:sz w:val="24"/>
          <w:szCs w:val="24"/>
          <w:lang w:val="pt-PT"/>
        </w:rPr>
        <w:t>. Os resultados apontam que estas o fazem através da</w:t>
      </w:r>
      <w:r w:rsidRPr="007533B7">
        <w:rPr>
          <w:rFonts w:ascii="Times New Roman" w:hAnsi="Times New Roman" w:cs="Times New Roman"/>
          <w:sz w:val="24"/>
          <w:szCs w:val="24"/>
          <w:lang w:val="pt-PT"/>
        </w:rPr>
        <w:t xml:space="preserve"> não separação das crianças pelo sexo nas actividades, a conceção da liberdade de a criança escolher o brinquedo com o qual quer brincar no momento, assim como clarificar as crianças que menina e menino podem exercer a mesma função, incluindo a existência de pelo menos um educador na instituição.</w:t>
      </w:r>
      <w:r>
        <w:rPr>
          <w:rFonts w:ascii="Times New Roman" w:hAnsi="Times New Roman" w:cs="Times New Roman"/>
          <w:sz w:val="24"/>
          <w:szCs w:val="24"/>
          <w:lang w:val="pt-PT"/>
        </w:rPr>
        <w:t xml:space="preserve"> A </w:t>
      </w:r>
      <w:r w:rsidR="00462C66">
        <w:rPr>
          <w:rFonts w:ascii="Times New Roman" w:hAnsi="Times New Roman" w:cs="Times New Roman"/>
          <w:sz w:val="24"/>
          <w:szCs w:val="24"/>
          <w:lang w:val="pt-PT"/>
        </w:rPr>
        <w:t>prática</w:t>
      </w:r>
      <w:r>
        <w:rPr>
          <w:rFonts w:ascii="Times New Roman" w:hAnsi="Times New Roman" w:cs="Times New Roman"/>
          <w:sz w:val="24"/>
          <w:szCs w:val="24"/>
          <w:lang w:val="pt-PT"/>
        </w:rPr>
        <w:t xml:space="preserve"> relativa a profissionais contratados para a educação de infância nestas instituições, revela uma preferência pela parte feminina. Esta é </w:t>
      </w:r>
      <w:r>
        <w:rPr>
          <w:rFonts w:ascii="Times New Roman" w:hAnsi="Times New Roman" w:cs="Times New Roman"/>
          <w:sz w:val="24"/>
          <w:szCs w:val="24"/>
          <w:lang w:val="pt-PT"/>
        </w:rPr>
        <w:lastRenderedPageBreak/>
        <w:t>indicada como a mais apropriada para a profissão, ainda que uma das instituições tenha um homem como educador.</w:t>
      </w:r>
      <w:r w:rsidR="00462C66">
        <w:rPr>
          <w:rFonts w:ascii="Times New Roman" w:hAnsi="Times New Roman" w:cs="Times New Roman"/>
          <w:sz w:val="24"/>
          <w:szCs w:val="24"/>
          <w:lang w:val="pt-PT"/>
        </w:rPr>
        <w:t xml:space="preserve"> Assim como a própria gestão dos centros é totalmente feminina</w:t>
      </w:r>
      <w:r w:rsidR="000547FE">
        <w:rPr>
          <w:rFonts w:ascii="Times New Roman" w:hAnsi="Times New Roman" w:cs="Times New Roman"/>
          <w:sz w:val="24"/>
          <w:szCs w:val="24"/>
          <w:lang w:val="pt-PT"/>
        </w:rPr>
        <w:t xml:space="preserve"> e a indicação de existência de divisão de papeis entre homens e mulheres.</w:t>
      </w:r>
    </w:p>
    <w:p w14:paraId="1197C73A" w14:textId="279141BD" w:rsidR="0065190B" w:rsidRDefault="008B78BA"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w:t>
      </w:r>
      <w:r w:rsidR="008329C8">
        <w:rPr>
          <w:rFonts w:ascii="Times New Roman" w:hAnsi="Times New Roman" w:cs="Times New Roman"/>
          <w:sz w:val="24"/>
          <w:szCs w:val="24"/>
          <w:lang w:val="pt-PT"/>
        </w:rPr>
        <w:t>análise</w:t>
      </w:r>
      <w:r>
        <w:rPr>
          <w:rFonts w:ascii="Times New Roman" w:hAnsi="Times New Roman" w:cs="Times New Roman"/>
          <w:sz w:val="24"/>
          <w:szCs w:val="24"/>
          <w:lang w:val="pt-PT"/>
        </w:rPr>
        <w:t xml:space="preserve"> feita as </w:t>
      </w:r>
      <w:r w:rsidR="008329C8">
        <w:rPr>
          <w:rFonts w:ascii="Times New Roman" w:hAnsi="Times New Roman" w:cs="Times New Roman"/>
          <w:sz w:val="24"/>
          <w:szCs w:val="24"/>
          <w:lang w:val="pt-PT"/>
        </w:rPr>
        <w:t>práticas</w:t>
      </w:r>
      <w:r>
        <w:rPr>
          <w:rFonts w:ascii="Times New Roman" w:hAnsi="Times New Roman" w:cs="Times New Roman"/>
          <w:sz w:val="24"/>
          <w:szCs w:val="24"/>
          <w:lang w:val="pt-PT"/>
        </w:rPr>
        <w:t xml:space="preserve"> da gestão nos Centros </w:t>
      </w:r>
      <w:r w:rsidR="00B3246C">
        <w:rPr>
          <w:rFonts w:ascii="Times New Roman" w:hAnsi="Times New Roman" w:cs="Times New Roman"/>
          <w:sz w:val="24"/>
          <w:szCs w:val="24"/>
          <w:lang w:val="pt-PT"/>
        </w:rPr>
        <w:t>I</w:t>
      </w:r>
      <w:r>
        <w:rPr>
          <w:rFonts w:ascii="Times New Roman" w:hAnsi="Times New Roman" w:cs="Times New Roman"/>
          <w:sz w:val="24"/>
          <w:szCs w:val="24"/>
          <w:lang w:val="pt-PT"/>
        </w:rPr>
        <w:t>nfantis verificadas</w:t>
      </w:r>
      <w:r w:rsidR="00462C66">
        <w:rPr>
          <w:rFonts w:ascii="Times New Roman" w:hAnsi="Times New Roman" w:cs="Times New Roman"/>
          <w:sz w:val="24"/>
          <w:szCs w:val="24"/>
          <w:lang w:val="pt-PT"/>
        </w:rPr>
        <w:t xml:space="preserve">, por um lado </w:t>
      </w:r>
      <w:r>
        <w:rPr>
          <w:rFonts w:ascii="Times New Roman" w:hAnsi="Times New Roman" w:cs="Times New Roman"/>
          <w:sz w:val="24"/>
          <w:szCs w:val="24"/>
          <w:lang w:val="pt-PT"/>
        </w:rPr>
        <w:t xml:space="preserve">indica que o facto de as gestoras </w:t>
      </w:r>
      <w:r w:rsidR="008329C8">
        <w:rPr>
          <w:rFonts w:ascii="Times New Roman" w:hAnsi="Times New Roman" w:cs="Times New Roman"/>
          <w:sz w:val="24"/>
          <w:szCs w:val="24"/>
          <w:lang w:val="pt-PT"/>
        </w:rPr>
        <w:t>possuírem as noções de igualdade de género e reconhecerem a relevância da sua promoção na infância e ainda apresentarem como tentam implementar a mesma nas instituições que estas dirigem constitui um marco significativo e pode contribuir sim para a promoção da igualdade de género na infância através do processo educativo. As gestoras mostram-se cientes da necessidade</w:t>
      </w:r>
      <w:r w:rsidR="00462C66">
        <w:rPr>
          <w:rFonts w:ascii="Times New Roman" w:hAnsi="Times New Roman" w:cs="Times New Roman"/>
          <w:sz w:val="24"/>
          <w:szCs w:val="24"/>
          <w:lang w:val="pt-PT"/>
        </w:rPr>
        <w:t xml:space="preserve"> oportunidades iguais para todas as crianças independentemente do sexo</w:t>
      </w:r>
      <w:r w:rsidR="008329C8">
        <w:rPr>
          <w:rFonts w:ascii="Times New Roman" w:hAnsi="Times New Roman" w:cs="Times New Roman"/>
          <w:sz w:val="24"/>
          <w:szCs w:val="24"/>
          <w:lang w:val="pt-PT"/>
        </w:rPr>
        <w:t xml:space="preserve"> e dão a </w:t>
      </w:r>
      <w:r w:rsidR="00462C66">
        <w:rPr>
          <w:rFonts w:ascii="Times New Roman" w:hAnsi="Times New Roman" w:cs="Times New Roman"/>
          <w:sz w:val="24"/>
          <w:szCs w:val="24"/>
          <w:lang w:val="pt-PT"/>
        </w:rPr>
        <w:t>impressão</w:t>
      </w:r>
      <w:r w:rsidR="008329C8">
        <w:rPr>
          <w:rFonts w:ascii="Times New Roman" w:hAnsi="Times New Roman" w:cs="Times New Roman"/>
          <w:sz w:val="24"/>
          <w:szCs w:val="24"/>
          <w:lang w:val="pt-PT"/>
        </w:rPr>
        <w:t xml:space="preserve"> de que estão aptas a criar condições necessárias para isso. </w:t>
      </w:r>
      <w:r w:rsidR="00462C66">
        <w:rPr>
          <w:rFonts w:ascii="Times New Roman" w:hAnsi="Times New Roman" w:cs="Times New Roman"/>
          <w:sz w:val="24"/>
          <w:szCs w:val="24"/>
          <w:lang w:val="pt-PT"/>
        </w:rPr>
        <w:t xml:space="preserve">Por outro lado, a </w:t>
      </w:r>
      <w:r w:rsidR="000547FE">
        <w:rPr>
          <w:rFonts w:ascii="Times New Roman" w:hAnsi="Times New Roman" w:cs="Times New Roman"/>
          <w:sz w:val="24"/>
          <w:szCs w:val="24"/>
          <w:lang w:val="pt-PT"/>
        </w:rPr>
        <w:t>prática</w:t>
      </w:r>
      <w:r w:rsidR="00462C66">
        <w:rPr>
          <w:rFonts w:ascii="Times New Roman" w:hAnsi="Times New Roman" w:cs="Times New Roman"/>
          <w:sz w:val="24"/>
          <w:szCs w:val="24"/>
          <w:lang w:val="pt-PT"/>
        </w:rPr>
        <w:t xml:space="preserve"> relativa a preferência pelo feminino como profissionais mais indicadas para a profissão de educadora de infância, coadjuvada com uma gestão totalmente feminina</w:t>
      </w:r>
      <w:r w:rsidR="000547FE">
        <w:rPr>
          <w:rFonts w:ascii="Times New Roman" w:hAnsi="Times New Roman" w:cs="Times New Roman"/>
          <w:sz w:val="24"/>
          <w:szCs w:val="24"/>
          <w:lang w:val="pt-PT"/>
        </w:rPr>
        <w:t xml:space="preserve"> e a visão de existência de papel típico do homem e outro só de mulher</w:t>
      </w:r>
      <w:r w:rsidR="00462C66">
        <w:rPr>
          <w:rFonts w:ascii="Times New Roman" w:hAnsi="Times New Roman" w:cs="Times New Roman"/>
          <w:sz w:val="24"/>
          <w:szCs w:val="24"/>
          <w:lang w:val="pt-PT"/>
        </w:rPr>
        <w:t xml:space="preserve"> mostra uma incongruência que pode </w:t>
      </w:r>
      <w:r w:rsidR="000547FE">
        <w:rPr>
          <w:rFonts w:ascii="Times New Roman" w:hAnsi="Times New Roman" w:cs="Times New Roman"/>
          <w:sz w:val="24"/>
          <w:szCs w:val="24"/>
          <w:lang w:val="pt-PT"/>
        </w:rPr>
        <w:t>pôr</w:t>
      </w:r>
      <w:r w:rsidR="00462C66">
        <w:rPr>
          <w:rFonts w:ascii="Times New Roman" w:hAnsi="Times New Roman" w:cs="Times New Roman"/>
          <w:sz w:val="24"/>
          <w:szCs w:val="24"/>
          <w:lang w:val="pt-PT"/>
        </w:rPr>
        <w:t xml:space="preserve"> em </w:t>
      </w:r>
      <w:r w:rsidR="003D26FD">
        <w:rPr>
          <w:rFonts w:ascii="Times New Roman" w:hAnsi="Times New Roman" w:cs="Times New Roman"/>
          <w:sz w:val="24"/>
          <w:szCs w:val="24"/>
          <w:lang w:val="pt-PT"/>
        </w:rPr>
        <w:t>dúvida</w:t>
      </w:r>
      <w:r w:rsidR="00462C66">
        <w:rPr>
          <w:rFonts w:ascii="Times New Roman" w:hAnsi="Times New Roman" w:cs="Times New Roman"/>
          <w:sz w:val="24"/>
          <w:szCs w:val="24"/>
          <w:lang w:val="pt-PT"/>
        </w:rPr>
        <w:t xml:space="preserve"> a capacidade das gestoras de ter instituições que </w:t>
      </w:r>
      <w:r w:rsidR="000547FE">
        <w:rPr>
          <w:rFonts w:ascii="Times New Roman" w:hAnsi="Times New Roman" w:cs="Times New Roman"/>
          <w:sz w:val="24"/>
          <w:szCs w:val="24"/>
          <w:lang w:val="pt-PT"/>
        </w:rPr>
        <w:t xml:space="preserve">não </w:t>
      </w:r>
      <w:r w:rsidR="00462C66">
        <w:rPr>
          <w:rFonts w:ascii="Times New Roman" w:hAnsi="Times New Roman" w:cs="Times New Roman"/>
          <w:sz w:val="24"/>
          <w:szCs w:val="24"/>
          <w:lang w:val="pt-PT"/>
        </w:rPr>
        <w:t xml:space="preserve">tenham regimes de desigualdades, uma vez que estas </w:t>
      </w:r>
      <w:r w:rsidR="003D26FD">
        <w:rPr>
          <w:rFonts w:ascii="Times New Roman" w:hAnsi="Times New Roman" w:cs="Times New Roman"/>
          <w:sz w:val="24"/>
          <w:szCs w:val="24"/>
          <w:lang w:val="pt-PT"/>
        </w:rPr>
        <w:t>práticas</w:t>
      </w:r>
      <w:r w:rsidR="00462C66">
        <w:rPr>
          <w:rFonts w:ascii="Times New Roman" w:hAnsi="Times New Roman" w:cs="Times New Roman"/>
          <w:sz w:val="24"/>
          <w:szCs w:val="24"/>
          <w:lang w:val="pt-PT"/>
        </w:rPr>
        <w:t xml:space="preserve"> são </w:t>
      </w:r>
      <w:r w:rsidR="003D26FD">
        <w:rPr>
          <w:rFonts w:ascii="Times New Roman" w:hAnsi="Times New Roman" w:cs="Times New Roman"/>
          <w:sz w:val="24"/>
          <w:szCs w:val="24"/>
          <w:lang w:val="pt-PT"/>
        </w:rPr>
        <w:t>contrárias</w:t>
      </w:r>
      <w:r w:rsidR="00462C66">
        <w:rPr>
          <w:rFonts w:ascii="Times New Roman" w:hAnsi="Times New Roman" w:cs="Times New Roman"/>
          <w:sz w:val="24"/>
          <w:szCs w:val="24"/>
          <w:lang w:val="pt-PT"/>
        </w:rPr>
        <w:t xml:space="preserve"> a uma gestão que crie condições para a promoção da igualdade de </w:t>
      </w:r>
      <w:r w:rsidR="003D26FD">
        <w:rPr>
          <w:rFonts w:ascii="Times New Roman" w:hAnsi="Times New Roman" w:cs="Times New Roman"/>
          <w:sz w:val="24"/>
          <w:szCs w:val="24"/>
          <w:lang w:val="pt-PT"/>
        </w:rPr>
        <w:t>género</w:t>
      </w:r>
      <w:r w:rsidR="00462C66">
        <w:rPr>
          <w:rFonts w:ascii="Times New Roman" w:hAnsi="Times New Roman" w:cs="Times New Roman"/>
          <w:sz w:val="24"/>
          <w:szCs w:val="24"/>
          <w:lang w:val="pt-PT"/>
        </w:rPr>
        <w:t xml:space="preserve"> na infância. </w:t>
      </w:r>
    </w:p>
    <w:p w14:paraId="217026FD" w14:textId="669472BA" w:rsidR="002C2EC9" w:rsidRDefault="003D26FD"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Esta outra dimensão das práticas até coloca em dúvida o reconhecimento, </w:t>
      </w:r>
      <w:r w:rsidR="000547FE">
        <w:rPr>
          <w:rFonts w:ascii="Times New Roman" w:hAnsi="Times New Roman" w:cs="Times New Roman"/>
          <w:sz w:val="24"/>
          <w:szCs w:val="24"/>
          <w:lang w:val="pt-PT"/>
        </w:rPr>
        <w:t xml:space="preserve">incluindo </w:t>
      </w:r>
      <w:r>
        <w:rPr>
          <w:rFonts w:ascii="Times New Roman" w:hAnsi="Times New Roman" w:cs="Times New Roman"/>
          <w:sz w:val="24"/>
          <w:szCs w:val="24"/>
          <w:lang w:val="pt-PT"/>
        </w:rPr>
        <w:t>a</w:t>
      </w:r>
      <w:r w:rsidR="000547FE">
        <w:rPr>
          <w:rFonts w:ascii="Times New Roman" w:hAnsi="Times New Roman" w:cs="Times New Roman"/>
          <w:sz w:val="24"/>
          <w:szCs w:val="24"/>
          <w:lang w:val="pt-PT"/>
        </w:rPr>
        <w:t xml:space="preserve"> própria</w:t>
      </w:r>
      <w:r>
        <w:rPr>
          <w:rFonts w:ascii="Times New Roman" w:hAnsi="Times New Roman" w:cs="Times New Roman"/>
          <w:sz w:val="24"/>
          <w:szCs w:val="24"/>
          <w:lang w:val="pt-PT"/>
        </w:rPr>
        <w:t xml:space="preserve"> implementação da promoção da igualdade de género na infância, na medida em </w:t>
      </w:r>
      <w:r w:rsidR="002D6283">
        <w:rPr>
          <w:rFonts w:ascii="Times New Roman" w:hAnsi="Times New Roman" w:cs="Times New Roman"/>
          <w:sz w:val="24"/>
          <w:szCs w:val="24"/>
          <w:lang w:val="pt-PT"/>
        </w:rPr>
        <w:t xml:space="preserve">que </w:t>
      </w:r>
      <w:r>
        <w:rPr>
          <w:rFonts w:ascii="Times New Roman" w:hAnsi="Times New Roman" w:cs="Times New Roman"/>
          <w:sz w:val="24"/>
          <w:szCs w:val="24"/>
          <w:lang w:val="pt-PT"/>
        </w:rPr>
        <w:t xml:space="preserve">há uma injustiça epistémica ao não dar oportunidade de as crianças terem como seus educadores homens, como tem mulheres, limitando os possíveis modelos, na perspectiva de Bandura, que estas podem ter como parte da sua aprendizagem e preparação como futuros/as cidadãos/ãs. Isto é, saberem que tanto homens, assim como mulheres podem ser profissionais de educação de infância e estarem conscientes e livres para escolher ou não sem limitações já criadas pelas instituições de infância ao não proporcionar estas aprendizagens, indicando claramente </w:t>
      </w:r>
      <w:r w:rsidR="00704763">
        <w:rPr>
          <w:rFonts w:ascii="Times New Roman" w:hAnsi="Times New Roman" w:cs="Times New Roman"/>
          <w:sz w:val="24"/>
          <w:szCs w:val="24"/>
          <w:lang w:val="pt-PT"/>
        </w:rPr>
        <w:t>às</w:t>
      </w:r>
      <w:r>
        <w:rPr>
          <w:rFonts w:ascii="Times New Roman" w:hAnsi="Times New Roman" w:cs="Times New Roman"/>
          <w:sz w:val="24"/>
          <w:szCs w:val="24"/>
          <w:lang w:val="pt-PT"/>
        </w:rPr>
        <w:t xml:space="preserve"> crianças que a profissão </w:t>
      </w:r>
      <w:r w:rsidR="00704763">
        <w:rPr>
          <w:rFonts w:ascii="Times New Roman" w:hAnsi="Times New Roman" w:cs="Times New Roman"/>
          <w:sz w:val="24"/>
          <w:szCs w:val="24"/>
          <w:lang w:val="pt-PT"/>
        </w:rPr>
        <w:t>é</w:t>
      </w:r>
      <w:r>
        <w:rPr>
          <w:rFonts w:ascii="Times New Roman" w:hAnsi="Times New Roman" w:cs="Times New Roman"/>
          <w:sz w:val="24"/>
          <w:szCs w:val="24"/>
          <w:lang w:val="pt-PT"/>
        </w:rPr>
        <w:t xml:space="preserve"> </w:t>
      </w:r>
      <w:r w:rsidR="00704763">
        <w:rPr>
          <w:rFonts w:ascii="Times New Roman" w:hAnsi="Times New Roman" w:cs="Times New Roman"/>
          <w:sz w:val="24"/>
          <w:szCs w:val="24"/>
          <w:lang w:val="pt-PT"/>
        </w:rPr>
        <w:t>só</w:t>
      </w:r>
      <w:r>
        <w:rPr>
          <w:rFonts w:ascii="Times New Roman" w:hAnsi="Times New Roman" w:cs="Times New Roman"/>
          <w:sz w:val="24"/>
          <w:szCs w:val="24"/>
          <w:lang w:val="pt-PT"/>
        </w:rPr>
        <w:t xml:space="preserve"> para mulheres, c</w:t>
      </w:r>
      <w:r w:rsidR="00704763">
        <w:rPr>
          <w:rFonts w:ascii="Times New Roman" w:hAnsi="Times New Roman" w:cs="Times New Roman"/>
          <w:sz w:val="24"/>
          <w:szCs w:val="24"/>
          <w:lang w:val="pt-PT"/>
        </w:rPr>
        <w:t>omo referem as próprias.</w:t>
      </w:r>
    </w:p>
    <w:p w14:paraId="38767DE4" w14:textId="331D4761" w:rsidR="002C2EC9" w:rsidRDefault="002C2EC9"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 reação dos pais à existência de homens como educadores nos Centros Infantis e a perspectiva da sociedade trazida pelas gestoras, pode também estar por detrás não contratação de educadores, limitando modelos as crianças para esta profissão.</w:t>
      </w:r>
    </w:p>
    <w:p w14:paraId="66B53B88" w14:textId="4908BC8D" w:rsidR="00704763" w:rsidRDefault="00704763" w:rsidP="00A7120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Em síntese não basta ter noções e reconhecer a relevância da promoção da igualdade de género na infância é necessário que todas as práticas sejam consequentes/complementares para que este feito seja alcançado. Pois, sem esta postura fica-se numa situação de deficiência</w:t>
      </w:r>
      <w:r w:rsidR="0088765E">
        <w:rPr>
          <w:rFonts w:ascii="Times New Roman" w:hAnsi="Times New Roman" w:cs="Times New Roman"/>
          <w:sz w:val="24"/>
          <w:szCs w:val="24"/>
          <w:lang w:val="pt-PT"/>
        </w:rPr>
        <w:t xml:space="preserve"> </w:t>
      </w:r>
      <w:r w:rsidR="0088765E">
        <w:rPr>
          <w:rFonts w:ascii="Times New Roman" w:hAnsi="Times New Roman" w:cs="Times New Roman"/>
          <w:sz w:val="24"/>
          <w:szCs w:val="24"/>
          <w:lang w:val="pt-PT"/>
        </w:rPr>
        <w:lastRenderedPageBreak/>
        <w:t>ou “ausência”</w:t>
      </w:r>
      <w:r>
        <w:rPr>
          <w:rFonts w:ascii="Times New Roman" w:hAnsi="Times New Roman" w:cs="Times New Roman"/>
          <w:sz w:val="24"/>
          <w:szCs w:val="24"/>
          <w:lang w:val="pt-PT"/>
        </w:rPr>
        <w:t xml:space="preserve"> de implementação, colocando em causa a aprendizagem das crianças que vão ser futuros adultos sem clareza das decisões a tomar ou escolhas a fazer, visto que a base não foi sólida.</w:t>
      </w:r>
    </w:p>
    <w:p w14:paraId="743D2D2E" w14:textId="77777777" w:rsidR="008353C1" w:rsidRDefault="008353C1" w:rsidP="00A71209">
      <w:pPr>
        <w:spacing w:line="360" w:lineRule="auto"/>
        <w:jc w:val="both"/>
        <w:rPr>
          <w:rFonts w:ascii="Times New Roman" w:hAnsi="Times New Roman" w:cs="Times New Roman"/>
          <w:sz w:val="24"/>
          <w:szCs w:val="24"/>
          <w:lang w:val="pt-PT"/>
        </w:rPr>
      </w:pPr>
    </w:p>
    <w:p w14:paraId="5D7125C7" w14:textId="2561DC34" w:rsidR="00704763" w:rsidRDefault="00704763" w:rsidP="00AF1340">
      <w:pPr>
        <w:spacing w:line="360" w:lineRule="auto"/>
        <w:jc w:val="both"/>
        <w:rPr>
          <w:rFonts w:ascii="Times New Roman" w:hAnsi="Times New Roman" w:cs="Times New Roman"/>
          <w:b/>
          <w:bCs/>
          <w:sz w:val="24"/>
          <w:szCs w:val="24"/>
          <w:lang w:val="pt-PT"/>
        </w:rPr>
      </w:pPr>
      <w:r w:rsidRPr="00704763">
        <w:rPr>
          <w:rFonts w:ascii="Times New Roman" w:hAnsi="Times New Roman" w:cs="Times New Roman"/>
          <w:b/>
          <w:bCs/>
          <w:sz w:val="24"/>
          <w:szCs w:val="24"/>
          <w:lang w:val="pt-PT"/>
        </w:rPr>
        <w:t>Referê</w:t>
      </w:r>
      <w:r>
        <w:rPr>
          <w:rFonts w:ascii="Times New Roman" w:hAnsi="Times New Roman" w:cs="Times New Roman"/>
          <w:b/>
          <w:bCs/>
          <w:sz w:val="24"/>
          <w:szCs w:val="24"/>
          <w:lang w:val="pt-PT"/>
        </w:rPr>
        <w:t>n</w:t>
      </w:r>
      <w:r w:rsidRPr="00704763">
        <w:rPr>
          <w:rFonts w:ascii="Times New Roman" w:hAnsi="Times New Roman" w:cs="Times New Roman"/>
          <w:b/>
          <w:bCs/>
          <w:sz w:val="24"/>
          <w:szCs w:val="24"/>
          <w:lang w:val="pt-PT"/>
        </w:rPr>
        <w:t>cias</w:t>
      </w:r>
    </w:p>
    <w:p w14:paraId="514ECB4E" w14:textId="0ABE333B" w:rsidR="00171C04" w:rsidRPr="0075213B" w:rsidRDefault="00171C04" w:rsidP="002D26CE">
      <w:pPr>
        <w:spacing w:line="360" w:lineRule="auto"/>
        <w:jc w:val="both"/>
        <w:rPr>
          <w:rFonts w:ascii="Times New Roman" w:hAnsi="Times New Roman"/>
          <w:sz w:val="24"/>
          <w:szCs w:val="24"/>
        </w:rPr>
      </w:pPr>
      <w:r w:rsidRPr="0075213B">
        <w:rPr>
          <w:rFonts w:ascii="Times New Roman" w:hAnsi="Times New Roman"/>
          <w:sz w:val="24"/>
          <w:szCs w:val="24"/>
        </w:rPr>
        <w:t xml:space="preserve">Acker, J. (2006). Inequality regimes, gender, class, and race in organizations. </w:t>
      </w:r>
      <w:r w:rsidRPr="0075213B">
        <w:rPr>
          <w:rFonts w:ascii="Times New Roman" w:hAnsi="Times New Roman"/>
          <w:i/>
          <w:iCs/>
          <w:sz w:val="24"/>
          <w:szCs w:val="24"/>
        </w:rPr>
        <w:t>Gender &amp; Society</w:t>
      </w:r>
      <w:r w:rsidRPr="0075213B">
        <w:rPr>
          <w:rFonts w:ascii="Times New Roman" w:hAnsi="Times New Roman"/>
          <w:sz w:val="24"/>
          <w:szCs w:val="24"/>
        </w:rPr>
        <w:t>, 20(4), 441-464, DOI: 10.1177/0891243206289499</w:t>
      </w:r>
    </w:p>
    <w:p w14:paraId="5A10257E" w14:textId="77777777" w:rsidR="00A82C6A" w:rsidRPr="0075213B" w:rsidRDefault="00A82C6A" w:rsidP="0075213B">
      <w:pPr>
        <w:spacing w:after="200" w:line="276" w:lineRule="auto"/>
        <w:jc w:val="both"/>
        <w:rPr>
          <w:rFonts w:ascii="Calibri" w:eastAsia="Calibri" w:hAnsi="Calibri" w:cs="Times New Roman"/>
          <w:kern w:val="0"/>
          <w:lang w:val="pt-PT"/>
          <w14:ligatures w14:val="none"/>
        </w:rPr>
      </w:pPr>
      <w:r w:rsidRPr="0075213B">
        <w:rPr>
          <w:rFonts w:ascii="Times New Roman" w:eastAsia="Calibri" w:hAnsi="Times New Roman" w:cs="Times New Roman"/>
          <w:kern w:val="0"/>
          <w:sz w:val="24"/>
          <w:szCs w:val="24"/>
          <w:lang w:val="pt-PT"/>
          <w14:ligatures w14:val="none"/>
        </w:rPr>
        <w:t xml:space="preserve">Banco Mundial. (2012). </w:t>
      </w:r>
      <w:r w:rsidRPr="0075213B">
        <w:rPr>
          <w:rFonts w:ascii="Times New Roman" w:eastAsia="Calibri" w:hAnsi="Times New Roman" w:cs="Times New Roman"/>
          <w:i/>
          <w:kern w:val="0"/>
          <w:sz w:val="24"/>
          <w:szCs w:val="24"/>
          <w:lang w:val="pt-PT"/>
          <w14:ligatures w14:val="none"/>
        </w:rPr>
        <w:t>Relatório sobre o Desenvolvimento Mundial de 2012: Igualdade de Género e Desenvolvimento</w:t>
      </w:r>
      <w:r w:rsidRPr="0075213B">
        <w:rPr>
          <w:rFonts w:ascii="Times New Roman" w:eastAsia="Calibri" w:hAnsi="Times New Roman" w:cs="Times New Roman"/>
          <w:kern w:val="0"/>
          <w:sz w:val="24"/>
          <w:szCs w:val="24"/>
          <w:lang w:val="pt-PT"/>
          <w14:ligatures w14:val="none"/>
        </w:rPr>
        <w:t>. Wanshington: DC: Autor.</w:t>
      </w:r>
    </w:p>
    <w:p w14:paraId="71AA7F72" w14:textId="2F283478" w:rsidR="003601E5" w:rsidRPr="0075213B" w:rsidRDefault="003601E5"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Barbosa, E. M. &amp; Prado, J. M. (2009). Práticas Educativas na Educação Infantil e Produção de Conhecimento da Criança Menor de 6 Anos. </w:t>
      </w:r>
      <w:r w:rsidRPr="0075213B">
        <w:rPr>
          <w:rFonts w:ascii="Times New Roman" w:hAnsi="Times New Roman"/>
          <w:i/>
          <w:sz w:val="24"/>
          <w:szCs w:val="24"/>
        </w:rPr>
        <w:t>Poiésis Pedagógica</w:t>
      </w:r>
      <w:r w:rsidRPr="0075213B">
        <w:rPr>
          <w:rFonts w:ascii="Times New Roman" w:hAnsi="Times New Roman"/>
          <w:sz w:val="24"/>
          <w:szCs w:val="24"/>
        </w:rPr>
        <w:t>, 7, 131-151.</w:t>
      </w:r>
    </w:p>
    <w:p w14:paraId="387B3408" w14:textId="77777777" w:rsidR="00A82C6A" w:rsidRDefault="00A82C6A" w:rsidP="0075213B">
      <w:pPr>
        <w:jc w:val="both"/>
      </w:pPr>
      <w:r w:rsidRPr="0075213B">
        <w:rPr>
          <w:rFonts w:ascii="Times New Roman" w:hAnsi="Times New Roman"/>
          <w:sz w:val="24"/>
          <w:szCs w:val="24"/>
        </w:rPr>
        <w:t xml:space="preserve">Bardan, L. (2011). </w:t>
      </w:r>
      <w:r w:rsidRPr="0075213B">
        <w:rPr>
          <w:rFonts w:ascii="Times New Roman" w:hAnsi="Times New Roman"/>
          <w:i/>
          <w:sz w:val="24"/>
          <w:szCs w:val="24"/>
        </w:rPr>
        <w:t>Análise de conteúdo</w:t>
      </w:r>
      <w:r w:rsidRPr="0075213B">
        <w:rPr>
          <w:rFonts w:ascii="Times New Roman" w:hAnsi="Times New Roman"/>
          <w:sz w:val="24"/>
          <w:szCs w:val="24"/>
        </w:rPr>
        <w:t>. (2ª ed.). São Paulo: Edições 70.</w:t>
      </w:r>
    </w:p>
    <w:p w14:paraId="6987E7E7" w14:textId="77777777" w:rsidR="00A82C6A" w:rsidRDefault="00A82C6A" w:rsidP="0075213B">
      <w:pPr>
        <w:jc w:val="both"/>
      </w:pPr>
      <w:r w:rsidRPr="0075213B">
        <w:rPr>
          <w:rFonts w:ascii="Times New Roman" w:hAnsi="Times New Roman"/>
          <w:sz w:val="24"/>
          <w:szCs w:val="24"/>
        </w:rPr>
        <w:t xml:space="preserve">Berk, L. E. (2006). </w:t>
      </w:r>
      <w:r w:rsidRPr="0075213B">
        <w:rPr>
          <w:rFonts w:ascii="Times New Roman" w:hAnsi="Times New Roman"/>
          <w:i/>
          <w:iCs/>
          <w:sz w:val="24"/>
          <w:szCs w:val="24"/>
        </w:rPr>
        <w:t>Child development</w:t>
      </w:r>
      <w:r w:rsidRPr="0075213B">
        <w:rPr>
          <w:rFonts w:ascii="Times New Roman" w:hAnsi="Times New Roman"/>
          <w:sz w:val="24"/>
          <w:szCs w:val="24"/>
        </w:rPr>
        <w:t>. (7ª ed.). USA: PEARSON.</w:t>
      </w:r>
    </w:p>
    <w:p w14:paraId="5A8060FD" w14:textId="77777777" w:rsidR="00A82C6A" w:rsidRDefault="00A82C6A" w:rsidP="0075213B">
      <w:pPr>
        <w:jc w:val="both"/>
      </w:pPr>
      <w:r w:rsidRPr="0075213B">
        <w:rPr>
          <w:rFonts w:ascii="Times New Roman" w:hAnsi="Times New Roman"/>
          <w:sz w:val="24"/>
          <w:szCs w:val="24"/>
        </w:rPr>
        <w:t xml:space="preserve">Cardona, M. J., Vieira, C. N. C., Uva, M., Tavares, T. C. (2015). </w:t>
      </w:r>
      <w:r w:rsidRPr="0075213B">
        <w:rPr>
          <w:rFonts w:ascii="Times New Roman" w:hAnsi="Times New Roman"/>
          <w:i/>
          <w:sz w:val="24"/>
          <w:szCs w:val="24"/>
        </w:rPr>
        <w:t>Guião de educação, género e cidadania pré-escolar</w:t>
      </w:r>
      <w:r w:rsidRPr="0075213B">
        <w:rPr>
          <w:rFonts w:ascii="Times New Roman" w:hAnsi="Times New Roman"/>
          <w:sz w:val="24"/>
          <w:szCs w:val="24"/>
        </w:rPr>
        <w:t>. Lisboa: CIG.</w:t>
      </w:r>
    </w:p>
    <w:p w14:paraId="5D62986F" w14:textId="77777777" w:rsidR="00A82C6A" w:rsidRPr="0075213B" w:rsidRDefault="00A82C6A"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Chueke, G. V. &amp; Lima, M. C. (2012). Pesquisa Qualitativa: evolução e critérios. </w:t>
      </w:r>
      <w:r w:rsidRPr="0075213B">
        <w:rPr>
          <w:rFonts w:ascii="Times New Roman" w:hAnsi="Times New Roman"/>
          <w:i/>
          <w:sz w:val="24"/>
          <w:szCs w:val="24"/>
        </w:rPr>
        <w:t>Revista Espaço Acadêmico</w:t>
      </w:r>
      <w:r w:rsidRPr="0075213B">
        <w:rPr>
          <w:rFonts w:ascii="Times New Roman" w:hAnsi="Times New Roman"/>
          <w:sz w:val="24"/>
          <w:szCs w:val="24"/>
        </w:rPr>
        <w:t>, 128, ISSN 1519-6186.</w:t>
      </w:r>
    </w:p>
    <w:p w14:paraId="5D227AC7" w14:textId="77777777" w:rsidR="00A82C6A" w:rsidRDefault="00A82C6A" w:rsidP="0075213B">
      <w:pPr>
        <w:jc w:val="both"/>
      </w:pPr>
      <w:r w:rsidRPr="0075213B">
        <w:rPr>
          <w:rFonts w:ascii="Times New Roman" w:hAnsi="Times New Roman"/>
          <w:sz w:val="24"/>
          <w:szCs w:val="24"/>
        </w:rPr>
        <w:t xml:space="preserve">Cruz, G. V. (2018). Metodologia de pesquisa Científica em Ciências humanas e Sociais. Manual destinado aos estudantes Universitários. </w:t>
      </w:r>
      <w:r w:rsidRPr="0075213B">
        <w:rPr>
          <w:rFonts w:ascii="Times New Roman" w:hAnsi="Times New Roman"/>
          <w:i/>
          <w:sz w:val="24"/>
          <w:szCs w:val="24"/>
        </w:rPr>
        <w:t>Novas edições acadêmicas</w:t>
      </w:r>
      <w:r w:rsidRPr="0075213B">
        <w:rPr>
          <w:rFonts w:ascii="Times New Roman" w:hAnsi="Times New Roman"/>
          <w:sz w:val="24"/>
          <w:szCs w:val="24"/>
        </w:rPr>
        <w:t>, ISBN: 978-613-9-356-1</w:t>
      </w:r>
    </w:p>
    <w:p w14:paraId="466A690B" w14:textId="406F3F5A" w:rsidR="00A82C6A" w:rsidRPr="0075213B" w:rsidRDefault="00A82C6A" w:rsidP="0075213B">
      <w:pPr>
        <w:jc w:val="both"/>
        <w:rPr>
          <w:rFonts w:ascii="Times New Roman" w:hAnsi="Times New Roman"/>
          <w:sz w:val="24"/>
          <w:szCs w:val="24"/>
        </w:rPr>
      </w:pPr>
      <w:r w:rsidRPr="0075213B">
        <w:rPr>
          <w:rFonts w:ascii="Times New Roman" w:hAnsi="Times New Roman"/>
          <w:sz w:val="24"/>
          <w:szCs w:val="24"/>
        </w:rPr>
        <w:t xml:space="preserve">De Carvalho, F. &amp; Petrich, L. R. (2020). </w:t>
      </w:r>
      <w:r w:rsidRPr="0075213B">
        <w:rPr>
          <w:rFonts w:ascii="Times New Roman" w:hAnsi="Times New Roman"/>
          <w:i/>
          <w:iCs/>
          <w:sz w:val="24"/>
          <w:szCs w:val="24"/>
        </w:rPr>
        <w:t>Uma introdução à teoria social cognitiva de Albert Bandura.</w:t>
      </w:r>
      <w:r w:rsidRPr="0075213B">
        <w:rPr>
          <w:rFonts w:ascii="Times New Roman" w:hAnsi="Times New Roman"/>
          <w:sz w:val="24"/>
          <w:szCs w:val="24"/>
        </w:rPr>
        <w:t xml:space="preserve">  </w:t>
      </w:r>
      <w:hyperlink r:id="rId13" w:history="1">
        <w:r w:rsidRPr="0075213B">
          <w:rPr>
            <w:rStyle w:val="Hyperlink"/>
            <w:rFonts w:ascii="Times New Roman" w:hAnsi="Times New Roman"/>
            <w:sz w:val="24"/>
            <w:szCs w:val="24"/>
          </w:rPr>
          <w:t>https://www.academia.edu/45290037/Uma_Introdu%C3%A7%C3%A3o_%C3%A0_Teoria_Social_Cognitiva_de_Albert_Bandura</w:t>
        </w:r>
      </w:hyperlink>
    </w:p>
    <w:p w14:paraId="56FF2475" w14:textId="782BE12D" w:rsidR="00A82C6A" w:rsidRDefault="00A82C6A" w:rsidP="0075213B">
      <w:pPr>
        <w:jc w:val="both"/>
      </w:pPr>
      <w:r w:rsidRPr="0075213B">
        <w:rPr>
          <w:rFonts w:ascii="Times New Roman" w:hAnsi="Times New Roman"/>
          <w:sz w:val="24"/>
          <w:szCs w:val="24"/>
        </w:rPr>
        <w:t xml:space="preserve">Dias, R. C., Perreira, F. &amp; Correia, J. A. (2013). Creche, Igualdade de Género e o Direito das Crianças à Educação. </w:t>
      </w:r>
      <w:r w:rsidRPr="0075213B">
        <w:rPr>
          <w:rFonts w:ascii="Times New Roman" w:hAnsi="Times New Roman"/>
          <w:i/>
          <w:sz w:val="24"/>
          <w:szCs w:val="24"/>
        </w:rPr>
        <w:t>revista portuguesa de pedagogia</w:t>
      </w:r>
      <w:r w:rsidRPr="0075213B">
        <w:rPr>
          <w:rFonts w:ascii="Times New Roman" w:hAnsi="Times New Roman"/>
          <w:sz w:val="24"/>
          <w:szCs w:val="24"/>
        </w:rPr>
        <w:t>, 47(2), 21-42.</w:t>
      </w:r>
    </w:p>
    <w:p w14:paraId="01FCE391" w14:textId="77777777" w:rsidR="00A82C6A" w:rsidRPr="0075213B" w:rsidRDefault="00A82C6A" w:rsidP="0075213B">
      <w:pPr>
        <w:jc w:val="both"/>
        <w:rPr>
          <w:rFonts w:ascii="Times New Roman" w:hAnsi="Times New Roman"/>
          <w:sz w:val="24"/>
          <w:szCs w:val="24"/>
        </w:rPr>
      </w:pPr>
      <w:r w:rsidRPr="0075213B">
        <w:rPr>
          <w:rFonts w:ascii="Times New Roman" w:hAnsi="Times New Roman"/>
          <w:sz w:val="24"/>
          <w:szCs w:val="24"/>
        </w:rPr>
        <w:t xml:space="preserve">Essa, E. L. (2007). </w:t>
      </w:r>
      <w:r w:rsidRPr="0075213B">
        <w:rPr>
          <w:rFonts w:ascii="Times New Roman" w:hAnsi="Times New Roman"/>
          <w:i/>
          <w:iCs/>
          <w:sz w:val="24"/>
          <w:szCs w:val="24"/>
        </w:rPr>
        <w:t>Introduction to early childhood education</w:t>
      </w:r>
      <w:r w:rsidRPr="0075213B">
        <w:rPr>
          <w:rFonts w:ascii="Times New Roman" w:hAnsi="Times New Roman"/>
          <w:sz w:val="24"/>
          <w:szCs w:val="24"/>
        </w:rPr>
        <w:t>. (5ª ed.). United States: THOMSON.</w:t>
      </w:r>
    </w:p>
    <w:p w14:paraId="2EC6903F" w14:textId="6F2923B7" w:rsidR="00424470" w:rsidRDefault="00424470" w:rsidP="0075213B">
      <w:pPr>
        <w:jc w:val="both"/>
      </w:pPr>
      <w:r w:rsidRPr="0075213B">
        <w:rPr>
          <w:rFonts w:ascii="Times New Roman" w:hAnsi="Times New Roman"/>
          <w:sz w:val="24"/>
          <w:szCs w:val="24"/>
        </w:rPr>
        <w:t xml:space="preserve">Erlingsson, C. &amp; Brysiewicz, p. (2017). COMMENTARY: A hands-on guide to doing content analysis. </w:t>
      </w:r>
      <w:r w:rsidRPr="0075213B">
        <w:rPr>
          <w:rFonts w:ascii="Times New Roman" w:hAnsi="Times New Roman"/>
          <w:i/>
          <w:iCs/>
          <w:sz w:val="24"/>
          <w:szCs w:val="24"/>
        </w:rPr>
        <w:t>African Journal of Emergency Medicine,</w:t>
      </w:r>
      <w:r w:rsidRPr="0075213B">
        <w:rPr>
          <w:rFonts w:ascii="Times New Roman" w:hAnsi="Times New Roman"/>
          <w:sz w:val="24"/>
          <w:szCs w:val="24"/>
        </w:rPr>
        <w:t xml:space="preserve"> 7. 93–99.</w:t>
      </w:r>
    </w:p>
    <w:p w14:paraId="5DB2DCAF" w14:textId="77777777" w:rsidR="00A82C6A" w:rsidRDefault="00A82C6A" w:rsidP="0075213B">
      <w:pPr>
        <w:jc w:val="both"/>
      </w:pPr>
      <w:r w:rsidRPr="0075213B">
        <w:rPr>
          <w:rFonts w:ascii="Times New Roman" w:hAnsi="Times New Roman"/>
          <w:sz w:val="24"/>
          <w:szCs w:val="24"/>
        </w:rPr>
        <w:t xml:space="preserve">Fricker, M. (2007). </w:t>
      </w:r>
      <w:r w:rsidRPr="0075213B">
        <w:rPr>
          <w:rFonts w:ascii="Times New Roman" w:hAnsi="Times New Roman"/>
          <w:i/>
          <w:iCs/>
          <w:sz w:val="24"/>
          <w:szCs w:val="24"/>
        </w:rPr>
        <w:t>Epistemic Injustice: Power and the Ethics of Knowing</w:t>
      </w:r>
      <w:r w:rsidRPr="0075213B">
        <w:rPr>
          <w:rFonts w:ascii="Times New Roman" w:hAnsi="Times New Roman"/>
          <w:sz w:val="24"/>
          <w:szCs w:val="24"/>
        </w:rPr>
        <w:t>. Oxford: Oxford University Press.</w:t>
      </w:r>
    </w:p>
    <w:p w14:paraId="7727A343" w14:textId="77777777" w:rsidR="00424470" w:rsidRPr="0075213B" w:rsidRDefault="00424470" w:rsidP="0075213B">
      <w:pPr>
        <w:jc w:val="both"/>
        <w:rPr>
          <w:rFonts w:ascii="Times New Roman" w:hAnsi="Times New Roman"/>
          <w:sz w:val="24"/>
          <w:szCs w:val="24"/>
        </w:rPr>
      </w:pPr>
      <w:bookmarkStart w:id="14" w:name="_Hlk141952612"/>
      <w:r w:rsidRPr="0075213B">
        <w:rPr>
          <w:rFonts w:ascii="Times New Roman" w:hAnsi="Times New Roman"/>
          <w:sz w:val="24"/>
          <w:szCs w:val="24"/>
        </w:rPr>
        <w:t xml:space="preserve">Gerhardt, T. E. &amp; Silveira, D. T. (2009). </w:t>
      </w:r>
      <w:r w:rsidRPr="0075213B">
        <w:rPr>
          <w:rFonts w:ascii="Times New Roman" w:hAnsi="Times New Roman"/>
          <w:i/>
          <w:iCs/>
          <w:sz w:val="24"/>
          <w:szCs w:val="24"/>
        </w:rPr>
        <w:t>Métodos de pesquisa</w:t>
      </w:r>
      <w:r w:rsidRPr="0075213B">
        <w:rPr>
          <w:rFonts w:ascii="Times New Roman" w:hAnsi="Times New Roman"/>
          <w:sz w:val="24"/>
          <w:szCs w:val="24"/>
        </w:rPr>
        <w:t>. Porto Alegre: Editora da UFRGS.</w:t>
      </w:r>
    </w:p>
    <w:p w14:paraId="60A442D3" w14:textId="3618D2FA" w:rsidR="00424470" w:rsidRDefault="00424470" w:rsidP="0075213B">
      <w:pPr>
        <w:jc w:val="both"/>
      </w:pPr>
      <w:r w:rsidRPr="0075213B">
        <w:rPr>
          <w:rFonts w:ascii="Times New Roman" w:hAnsi="Times New Roman"/>
          <w:sz w:val="24"/>
          <w:szCs w:val="24"/>
        </w:rPr>
        <w:lastRenderedPageBreak/>
        <w:t>Gonçalves, A. C. P. (2009</w:t>
      </w:r>
      <w:r w:rsidRPr="0075213B">
        <w:rPr>
          <w:rFonts w:ascii="Times New Roman" w:hAnsi="Times New Roman"/>
          <w:i/>
          <w:iCs/>
          <w:sz w:val="24"/>
          <w:szCs w:val="24"/>
        </w:rPr>
        <w:t>).  “Modernidades” moçambicanas, crise de referências e a ética no programa de filosofia para o ensino médio</w:t>
      </w:r>
      <w:r w:rsidRPr="0075213B">
        <w:rPr>
          <w:rFonts w:ascii="Times New Roman" w:hAnsi="Times New Roman"/>
          <w:sz w:val="24"/>
          <w:szCs w:val="24"/>
        </w:rPr>
        <w:t>. Belo Horizonte: Universidade de Minas Gerais-Faculdade de Educação.</w:t>
      </w:r>
      <w:bookmarkEnd w:id="14"/>
      <w:r w:rsidR="005E5FA6">
        <w:rPr>
          <w:rFonts w:ascii="Times New Roman" w:hAnsi="Times New Roman"/>
          <w:sz w:val="24"/>
          <w:szCs w:val="24"/>
        </w:rPr>
        <w:t xml:space="preserve"> </w:t>
      </w:r>
      <w:hyperlink r:id="rId14" w:history="1">
        <w:r w:rsidR="005E5FA6" w:rsidRPr="00E60B15">
          <w:rPr>
            <w:rStyle w:val="Hyperlink"/>
            <w:rFonts w:ascii="Times New Roman" w:hAnsi="Times New Roman"/>
            <w:sz w:val="24"/>
            <w:szCs w:val="24"/>
          </w:rPr>
          <w:t>https://repositorio.ufmg.br/bitstream/1843/VCSA-7Z8JRX/1/2000000180.pdf</w:t>
        </w:r>
      </w:hyperlink>
    </w:p>
    <w:p w14:paraId="7822396F" w14:textId="77777777" w:rsidR="00424470" w:rsidRPr="0075213B" w:rsidRDefault="00424470"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Gonçalves, A. C. P. (2018).  Modernidades Moçambicanas e Educação: da crise de referências ao vazio de sentido. Porto Alegre, </w:t>
      </w:r>
      <w:r w:rsidRPr="0075213B">
        <w:rPr>
          <w:rFonts w:ascii="Times New Roman" w:hAnsi="Times New Roman"/>
          <w:i/>
          <w:iCs/>
          <w:sz w:val="24"/>
          <w:szCs w:val="24"/>
        </w:rPr>
        <w:t>Educação &amp; Realidade,</w:t>
      </w:r>
      <w:r w:rsidRPr="0075213B">
        <w:rPr>
          <w:rFonts w:ascii="Times New Roman" w:hAnsi="Times New Roman"/>
          <w:sz w:val="24"/>
          <w:szCs w:val="24"/>
        </w:rPr>
        <w:t xml:space="preserve"> 43(4). 1653-1676.</w:t>
      </w:r>
    </w:p>
    <w:p w14:paraId="1CCEFFCF" w14:textId="77777777" w:rsidR="00424470" w:rsidRDefault="00424470" w:rsidP="0075213B">
      <w:pPr>
        <w:jc w:val="both"/>
      </w:pPr>
      <w:r w:rsidRPr="0075213B">
        <w:rPr>
          <w:rFonts w:ascii="Times New Roman" w:hAnsi="Times New Roman"/>
          <w:sz w:val="24"/>
          <w:szCs w:val="24"/>
        </w:rPr>
        <w:t xml:space="preserve">Henriques, H. &amp; Marchão, A. de J. (2014). </w:t>
      </w:r>
      <w:r w:rsidRPr="0075213B">
        <w:rPr>
          <w:rFonts w:ascii="Times New Roman" w:hAnsi="Times New Roman"/>
          <w:i/>
          <w:iCs/>
          <w:sz w:val="24"/>
          <w:szCs w:val="24"/>
        </w:rPr>
        <w:t>Género, Cidadania e Práticas Educativas: A Promoção da Igualdade em Contextos Educativos</w:t>
      </w:r>
      <w:r w:rsidRPr="0075213B">
        <w:rPr>
          <w:rFonts w:ascii="Times New Roman" w:hAnsi="Times New Roman"/>
          <w:sz w:val="24"/>
          <w:szCs w:val="24"/>
        </w:rPr>
        <w:t>. ATAS DO XII CONGRESSO DA SPCE.</w:t>
      </w:r>
    </w:p>
    <w:p w14:paraId="4C387C0B" w14:textId="77777777" w:rsidR="00424470" w:rsidRDefault="00424470" w:rsidP="0075213B">
      <w:pPr>
        <w:jc w:val="both"/>
      </w:pPr>
      <w:r w:rsidRPr="0075213B">
        <w:rPr>
          <w:rFonts w:ascii="Times New Roman" w:hAnsi="Times New Roman"/>
          <w:sz w:val="24"/>
          <w:szCs w:val="24"/>
        </w:rPr>
        <w:t xml:space="preserve">Henriques, H. &amp; Marchão, A. de J. (2016). Educação para a igualdade de género: leituras a partir da realidade de cinco jardins de infância do distrito de Portalegre, Portugal. </w:t>
      </w:r>
      <w:r w:rsidRPr="0075213B">
        <w:rPr>
          <w:rFonts w:ascii="Times New Roman" w:hAnsi="Times New Roman"/>
          <w:i/>
          <w:sz w:val="24"/>
          <w:szCs w:val="24"/>
        </w:rPr>
        <w:t>Foro de Educación</w:t>
      </w:r>
      <w:r w:rsidRPr="0075213B">
        <w:rPr>
          <w:rFonts w:ascii="Times New Roman" w:hAnsi="Times New Roman"/>
          <w:sz w:val="24"/>
          <w:szCs w:val="24"/>
        </w:rPr>
        <w:t>, 14(20), 339-360.</w:t>
      </w:r>
    </w:p>
    <w:p w14:paraId="5F7BFE5E" w14:textId="4CEF443B" w:rsidR="00424470" w:rsidRPr="0075213B" w:rsidRDefault="00424470" w:rsidP="0075213B">
      <w:pPr>
        <w:jc w:val="both"/>
        <w:rPr>
          <w:rStyle w:val="Hyperlink"/>
          <w:rFonts w:ascii="Times New Roman" w:hAnsi="Times New Roman"/>
          <w:sz w:val="24"/>
          <w:szCs w:val="24"/>
        </w:rPr>
      </w:pPr>
      <w:r w:rsidRPr="0075213B">
        <w:rPr>
          <w:rFonts w:ascii="Times New Roman" w:hAnsi="Times New Roman"/>
          <w:sz w:val="24"/>
          <w:szCs w:val="24"/>
        </w:rPr>
        <w:t xml:space="preserve">Henriques, M. G. &amp; Vilhena, C. C. (2015). A Preservação da Infância: Análise de discursos sobre a criança em perigo moral (Portugal, 1910-1916). </w:t>
      </w:r>
      <w:r w:rsidRPr="0075213B">
        <w:rPr>
          <w:rFonts w:ascii="Times New Roman" w:hAnsi="Times New Roman"/>
          <w:i/>
          <w:iCs/>
          <w:sz w:val="24"/>
          <w:szCs w:val="24"/>
        </w:rPr>
        <w:t>Educação em Revista</w:t>
      </w:r>
      <w:r w:rsidRPr="0075213B">
        <w:rPr>
          <w:rFonts w:ascii="Times New Roman" w:hAnsi="Times New Roman"/>
          <w:sz w:val="24"/>
          <w:szCs w:val="24"/>
        </w:rPr>
        <w:t>, 31(2), 61-81</w:t>
      </w:r>
      <w:r w:rsidR="005E5FA6">
        <w:rPr>
          <w:rFonts w:ascii="Times New Roman" w:hAnsi="Times New Roman"/>
          <w:sz w:val="24"/>
          <w:szCs w:val="24"/>
        </w:rPr>
        <w:t xml:space="preserve">. </w:t>
      </w:r>
      <w:hyperlink r:id="rId15" w:history="1">
        <w:r w:rsidR="005E5FA6" w:rsidRPr="00E60B15">
          <w:rPr>
            <w:rStyle w:val="Hyperlink"/>
            <w:rFonts w:ascii="Times New Roman" w:hAnsi="Times New Roman"/>
            <w:sz w:val="24"/>
            <w:szCs w:val="24"/>
          </w:rPr>
          <w:t>http://www.scielo.br/scielo.php?pid=S0102-46982015000200061&amp;script=sci_abstract&amp;tlng=pt</w:t>
        </w:r>
      </w:hyperlink>
    </w:p>
    <w:p w14:paraId="2DFB95A7" w14:textId="463E4F7B" w:rsidR="00424470" w:rsidRDefault="00424470" w:rsidP="0075213B">
      <w:pPr>
        <w:jc w:val="both"/>
      </w:pPr>
      <w:r w:rsidRPr="0075213B">
        <w:rPr>
          <w:rFonts w:ascii="Times New Roman" w:hAnsi="Times New Roman"/>
          <w:sz w:val="24"/>
          <w:szCs w:val="24"/>
        </w:rPr>
        <w:t xml:space="preserve">Ho-Poon, D. N. de J. (2014). </w:t>
      </w:r>
      <w:r w:rsidRPr="0075213B">
        <w:rPr>
          <w:rFonts w:ascii="Times New Roman" w:hAnsi="Times New Roman"/>
          <w:i/>
          <w:iCs/>
          <w:sz w:val="24"/>
          <w:szCs w:val="24"/>
        </w:rPr>
        <w:t>Estudo de análise das práticas educativas dos educadores no acompanhamento à criança com distúrbio de comportamento no IPS</w:t>
      </w:r>
      <w:r w:rsidRPr="0075213B">
        <w:rPr>
          <w:rFonts w:ascii="Times New Roman" w:hAnsi="Times New Roman"/>
          <w:sz w:val="24"/>
          <w:szCs w:val="24"/>
        </w:rPr>
        <w:t>. Beira: Universidade Pedagógica.</w:t>
      </w:r>
    </w:p>
    <w:p w14:paraId="0B90C28D" w14:textId="644DDA2D" w:rsidR="00424470" w:rsidRPr="0075213B" w:rsidRDefault="00424470"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Instituto Nacional de Estatística. (2017). </w:t>
      </w:r>
      <w:bookmarkStart w:id="15" w:name="_Hlk164241603"/>
      <w:r w:rsidRPr="0075213B">
        <w:rPr>
          <w:rFonts w:ascii="Times New Roman" w:hAnsi="Times New Roman"/>
          <w:sz w:val="24"/>
          <w:szCs w:val="24"/>
        </w:rPr>
        <w:t xml:space="preserve">Censo 2017: </w:t>
      </w:r>
      <w:r w:rsidRPr="0075213B">
        <w:rPr>
          <w:rFonts w:ascii="Times New Roman" w:hAnsi="Times New Roman"/>
          <w:i/>
          <w:iCs/>
          <w:sz w:val="24"/>
          <w:szCs w:val="24"/>
        </w:rPr>
        <w:t xml:space="preserve">Quadro 3. </w:t>
      </w:r>
      <w:r w:rsidRPr="003911CC">
        <w:rPr>
          <w:rFonts w:ascii="Times New Roman" w:hAnsi="Times New Roman"/>
          <w:i/>
          <w:iCs/>
          <w:sz w:val="24"/>
          <w:szCs w:val="24"/>
          <w:lang w:val="pt-PT"/>
        </w:rPr>
        <w:t>População por idade- segundo província- área de residência e sexo</w:t>
      </w:r>
      <w:bookmarkEnd w:id="15"/>
      <w:r w:rsidRPr="003911CC">
        <w:rPr>
          <w:rFonts w:ascii="Times New Roman" w:hAnsi="Times New Roman"/>
          <w:i/>
          <w:iCs/>
          <w:sz w:val="24"/>
          <w:szCs w:val="24"/>
          <w:lang w:val="pt-PT"/>
        </w:rPr>
        <w:t>. Moçambique</w:t>
      </w:r>
      <w:r w:rsidRPr="003911CC">
        <w:rPr>
          <w:rFonts w:ascii="Times New Roman" w:hAnsi="Times New Roman"/>
          <w:sz w:val="24"/>
          <w:szCs w:val="24"/>
          <w:lang w:val="pt-PT"/>
        </w:rPr>
        <w:t xml:space="preserve">. </w:t>
      </w:r>
      <w:hyperlink r:id="rId16" w:history="1">
        <w:r w:rsidR="005E5FA6" w:rsidRPr="003911CC">
          <w:rPr>
            <w:rStyle w:val="Hyperlink"/>
            <w:rFonts w:ascii="Times New Roman" w:hAnsi="Times New Roman"/>
            <w:sz w:val="24"/>
            <w:szCs w:val="24"/>
            <w:lang w:val="pt-PT"/>
          </w:rPr>
          <w:t>https://ine.gov.mz/web/guest/d/quadro-3-populacao-por-idade-segundo-provincia-rea-de-residencia-e-sexo-mocambique-2017</w:t>
        </w:r>
      </w:hyperlink>
    </w:p>
    <w:p w14:paraId="387CE656" w14:textId="77777777" w:rsidR="00424470" w:rsidRPr="0075213B" w:rsidRDefault="00424470"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Louro, G. L. (1997). </w:t>
      </w:r>
      <w:r w:rsidRPr="0075213B">
        <w:rPr>
          <w:rFonts w:ascii="Times New Roman" w:hAnsi="Times New Roman"/>
          <w:i/>
          <w:iCs/>
          <w:sz w:val="24"/>
          <w:szCs w:val="24"/>
        </w:rPr>
        <w:t>Gênero, sexualidade e educação: uma perspectiva pós-estruturalista</w:t>
      </w:r>
      <w:r w:rsidRPr="0075213B">
        <w:rPr>
          <w:rFonts w:ascii="Times New Roman" w:hAnsi="Times New Roman"/>
          <w:sz w:val="24"/>
          <w:szCs w:val="24"/>
        </w:rPr>
        <w:t>. Petrópolis. Rio de Janeiro: vozes.</w:t>
      </w:r>
    </w:p>
    <w:p w14:paraId="43AC18EE" w14:textId="77777777" w:rsidR="007D1480" w:rsidRDefault="007D1480" w:rsidP="0075213B">
      <w:pPr>
        <w:jc w:val="both"/>
      </w:pPr>
      <w:r w:rsidRPr="0075213B">
        <w:rPr>
          <w:rFonts w:ascii="Times New Roman" w:hAnsi="Times New Roman"/>
          <w:sz w:val="24"/>
          <w:szCs w:val="24"/>
        </w:rPr>
        <w:t>Marchão, A. de J. G. &amp; Bento, A. I. F. (2012). Promoção da igualdade de género – um estudo em contexto de educação pré-escolar. III Seminário de I&amp;DT, organizado pelo C3i – Centro Interdisciplinar de Investigação e Inovação do Instituto Politécnico de Portalegre.</w:t>
      </w:r>
    </w:p>
    <w:p w14:paraId="434C33D3" w14:textId="77777777" w:rsidR="007D1480" w:rsidRPr="0075213B" w:rsidRDefault="007D1480" w:rsidP="0075213B">
      <w:pPr>
        <w:jc w:val="both"/>
        <w:rPr>
          <w:rFonts w:ascii="Times New Roman" w:eastAsia="PMingLiU" w:hAnsi="Times New Roman"/>
          <w:sz w:val="24"/>
          <w:szCs w:val="24"/>
          <w:lang w:eastAsia="zh-TW"/>
        </w:rPr>
      </w:pPr>
      <w:r w:rsidRPr="0075213B">
        <w:rPr>
          <w:rFonts w:ascii="Times New Roman" w:eastAsia="PMingLiU" w:hAnsi="Times New Roman"/>
          <w:sz w:val="24"/>
          <w:szCs w:val="24"/>
          <w:lang w:eastAsia="zh-TW"/>
        </w:rPr>
        <w:t xml:space="preserve">Martins, F., Pereira, S. C., João, P. S. &amp; Monteiro, E. C. (2015). </w:t>
      </w:r>
      <w:r w:rsidRPr="0075213B">
        <w:rPr>
          <w:rFonts w:ascii="Times New Roman" w:eastAsia="PMingLiU" w:hAnsi="Times New Roman"/>
          <w:i/>
          <w:iCs/>
          <w:sz w:val="24"/>
          <w:szCs w:val="24"/>
          <w:lang w:eastAsia="zh-TW"/>
        </w:rPr>
        <w:t>Manual de Formação “É de Género?” - Igualdade de Género, Diversidade e Cidadania Global</w:t>
      </w:r>
      <w:r w:rsidRPr="0075213B">
        <w:rPr>
          <w:rFonts w:ascii="Times New Roman" w:eastAsia="PMingLiU" w:hAnsi="Times New Roman"/>
          <w:sz w:val="24"/>
          <w:szCs w:val="24"/>
          <w:lang w:eastAsia="zh-TW"/>
        </w:rPr>
        <w:t xml:space="preserve">. Disponível em www.edegenero.pt </w:t>
      </w:r>
    </w:p>
    <w:p w14:paraId="1FB66055" w14:textId="6C4073FA" w:rsidR="007D1480" w:rsidRPr="0075213B" w:rsidRDefault="007D1480" w:rsidP="0075213B">
      <w:pPr>
        <w:jc w:val="both"/>
        <w:rPr>
          <w:rFonts w:ascii="Times New Roman" w:hAnsi="Times New Roman"/>
          <w:sz w:val="24"/>
          <w:szCs w:val="24"/>
        </w:rPr>
      </w:pPr>
      <w:bookmarkStart w:id="16" w:name="_Hlk125028006"/>
      <w:r w:rsidRPr="0075213B">
        <w:rPr>
          <w:rFonts w:ascii="Times New Roman" w:hAnsi="Times New Roman"/>
          <w:sz w:val="24"/>
          <w:szCs w:val="24"/>
        </w:rPr>
        <w:t xml:space="preserve">Mate, I. L; Mohsin, S. &amp; Mitano, F. (2020). Violência Doméstica e o Papel das Crenças Culturais na Perspectiva das Vítimas e Agressores: Um Estudo Fenomenológico. </w:t>
      </w:r>
      <w:r w:rsidRPr="0075213B">
        <w:rPr>
          <w:rFonts w:ascii="Times New Roman" w:hAnsi="Times New Roman"/>
          <w:i/>
          <w:sz w:val="24"/>
          <w:szCs w:val="24"/>
        </w:rPr>
        <w:t xml:space="preserve">Revista Científica Da UEM: Série Ciências Da Educação, 2(2). </w:t>
      </w:r>
      <w:r w:rsidRPr="0075213B">
        <w:rPr>
          <w:rFonts w:ascii="Times New Roman" w:hAnsi="Times New Roman"/>
          <w:sz w:val="24"/>
          <w:szCs w:val="24"/>
        </w:rPr>
        <w:t xml:space="preserve"> </w:t>
      </w:r>
      <w:hyperlink r:id="rId17" w:history="1">
        <w:r w:rsidRPr="0075213B">
          <w:rPr>
            <w:rStyle w:val="Hyperlink"/>
            <w:rFonts w:ascii="Times New Roman" w:hAnsi="Times New Roman"/>
            <w:sz w:val="24"/>
            <w:szCs w:val="24"/>
          </w:rPr>
          <w:t>http://196.3.97.23/revista/index.php/edu/article/view/106</w:t>
        </w:r>
      </w:hyperlink>
      <w:bookmarkEnd w:id="16"/>
    </w:p>
    <w:p w14:paraId="71809BAA" w14:textId="2EA2341F" w:rsidR="007D1480" w:rsidRPr="00944583" w:rsidRDefault="007D1480" w:rsidP="0075213B">
      <w:pPr>
        <w:jc w:val="both"/>
      </w:pPr>
      <w:r w:rsidRPr="0075213B">
        <w:rPr>
          <w:rFonts w:ascii="Times New Roman" w:eastAsia="PMingLiU" w:hAnsi="Times New Roman"/>
          <w:sz w:val="24"/>
          <w:szCs w:val="24"/>
          <w:lang w:eastAsia="zh-TW"/>
        </w:rPr>
        <w:t xml:space="preserve">Ministério do Género, Criança e Acção Social. (2016). </w:t>
      </w:r>
      <w:r w:rsidRPr="0075213B">
        <w:rPr>
          <w:rFonts w:ascii="Times New Roman" w:eastAsia="PMingLiU" w:hAnsi="Times New Roman"/>
          <w:i/>
          <w:iCs/>
          <w:sz w:val="24"/>
          <w:szCs w:val="24"/>
          <w:lang w:eastAsia="zh-TW"/>
        </w:rPr>
        <w:t>Política de género e estratégia de sua implementação</w:t>
      </w:r>
      <w:r w:rsidRPr="0075213B">
        <w:rPr>
          <w:rFonts w:ascii="Times New Roman" w:eastAsia="PMingLiU" w:hAnsi="Times New Roman"/>
          <w:sz w:val="24"/>
          <w:szCs w:val="24"/>
          <w:lang w:eastAsia="zh-TW"/>
        </w:rPr>
        <w:t>. Maputo. Moçambique: Produções e Serviços, Lda.</w:t>
      </w:r>
    </w:p>
    <w:p w14:paraId="7C438F4F" w14:textId="46DDC21C" w:rsidR="00944583" w:rsidRDefault="00944583" w:rsidP="0075213B">
      <w:pPr>
        <w:jc w:val="both"/>
      </w:pPr>
      <w:bookmarkStart w:id="17" w:name="_Hlk136782455"/>
      <w:r w:rsidRPr="0075213B">
        <w:rPr>
          <w:rFonts w:ascii="Times New Roman" w:hAnsi="Times New Roman"/>
          <w:sz w:val="24"/>
          <w:szCs w:val="24"/>
        </w:rPr>
        <w:t>Mwamwenda, T. S. (2005)</w:t>
      </w:r>
      <w:bookmarkEnd w:id="17"/>
      <w:r w:rsidRPr="0075213B">
        <w:rPr>
          <w:rFonts w:ascii="Times New Roman" w:hAnsi="Times New Roman"/>
          <w:sz w:val="24"/>
          <w:szCs w:val="24"/>
        </w:rPr>
        <w:t xml:space="preserve">. </w:t>
      </w:r>
      <w:r w:rsidRPr="0075213B">
        <w:rPr>
          <w:rFonts w:ascii="Times New Roman" w:hAnsi="Times New Roman"/>
          <w:i/>
          <w:iCs/>
          <w:sz w:val="24"/>
          <w:szCs w:val="24"/>
        </w:rPr>
        <w:t>Psicologia Educacional: Uma perspectiva africana</w:t>
      </w:r>
      <w:r w:rsidRPr="0075213B">
        <w:rPr>
          <w:rFonts w:ascii="Times New Roman" w:hAnsi="Times New Roman"/>
          <w:sz w:val="24"/>
          <w:szCs w:val="24"/>
        </w:rPr>
        <w:t>. Maputo: Texto Editores.</w:t>
      </w:r>
    </w:p>
    <w:p w14:paraId="60FC6B3F" w14:textId="77777777" w:rsidR="007D1480" w:rsidRDefault="007D1480" w:rsidP="0075213B">
      <w:pPr>
        <w:jc w:val="both"/>
      </w:pPr>
      <w:r w:rsidRPr="0075213B">
        <w:rPr>
          <w:rFonts w:ascii="Times New Roman" w:hAnsi="Times New Roman"/>
          <w:sz w:val="24"/>
          <w:szCs w:val="24"/>
        </w:rPr>
        <w:lastRenderedPageBreak/>
        <w:t xml:space="preserve">Mweru, M. (2012). Teachers’ Influence on Children’s Selection and Use of Play Materials in Kenya. </w:t>
      </w:r>
      <w:r w:rsidRPr="0075213B">
        <w:rPr>
          <w:rFonts w:ascii="Times New Roman" w:hAnsi="Times New Roman"/>
          <w:i/>
          <w:sz w:val="24"/>
          <w:szCs w:val="24"/>
        </w:rPr>
        <w:t>AJOTE</w:t>
      </w:r>
      <w:r w:rsidRPr="0075213B">
        <w:rPr>
          <w:rFonts w:ascii="Times New Roman" w:hAnsi="Times New Roman"/>
          <w:sz w:val="24"/>
          <w:szCs w:val="24"/>
        </w:rPr>
        <w:t>. 2 (2).</w:t>
      </w:r>
    </w:p>
    <w:p w14:paraId="28E1208A" w14:textId="77777777" w:rsidR="007D1480" w:rsidRPr="0075213B" w:rsidRDefault="007D1480" w:rsidP="0075213B">
      <w:pPr>
        <w:spacing w:after="200" w:line="276" w:lineRule="auto"/>
        <w:jc w:val="both"/>
        <w:rPr>
          <w:rFonts w:ascii="Calibri" w:eastAsia="Calibri" w:hAnsi="Calibri" w:cs="Times New Roman"/>
          <w:kern w:val="0"/>
          <w:lang w:val="pt-PT"/>
          <w14:ligatures w14:val="none"/>
        </w:rPr>
      </w:pPr>
      <w:r w:rsidRPr="0075213B">
        <w:rPr>
          <w:rFonts w:ascii="Times New Roman" w:eastAsia="Calibri" w:hAnsi="Times New Roman" w:cs="Times New Roman"/>
          <w:kern w:val="0"/>
          <w:sz w:val="24"/>
          <w:szCs w:val="24"/>
          <w:lang w:val="pt-PT"/>
          <w14:ligatures w14:val="none"/>
        </w:rPr>
        <w:t xml:space="preserve">Narvaz, M. G. &amp; Koller, S. H. (2006). Metodologias feministas e estudos de gênero: Articulando pesquisa, clínica e política. </w:t>
      </w:r>
      <w:r w:rsidRPr="0075213B">
        <w:rPr>
          <w:rFonts w:ascii="Times New Roman" w:eastAsia="Calibri" w:hAnsi="Times New Roman" w:cs="Times New Roman"/>
          <w:i/>
          <w:iCs/>
          <w:color w:val="000000"/>
          <w:kern w:val="0"/>
          <w:sz w:val="24"/>
          <w:szCs w:val="24"/>
          <w:lang w:val="pt-PT"/>
          <w14:ligatures w14:val="none"/>
        </w:rPr>
        <w:t>Psicologia em Estudo</w:t>
      </w:r>
      <w:r w:rsidRPr="0075213B">
        <w:rPr>
          <w:rFonts w:ascii="Times New Roman" w:eastAsia="Calibri" w:hAnsi="Times New Roman" w:cs="Times New Roman"/>
          <w:color w:val="000000"/>
          <w:kern w:val="0"/>
          <w:sz w:val="24"/>
          <w:szCs w:val="24"/>
          <w:lang w:val="pt-PT"/>
          <w14:ligatures w14:val="none"/>
        </w:rPr>
        <w:t>, Maringá, 11(3), 647-654.</w:t>
      </w:r>
    </w:p>
    <w:p w14:paraId="5FAA1011" w14:textId="0A32D15E" w:rsidR="007D1480" w:rsidRDefault="007D1480" w:rsidP="0075213B">
      <w:pPr>
        <w:jc w:val="both"/>
      </w:pPr>
      <w:r w:rsidRPr="0075213B">
        <w:rPr>
          <w:rFonts w:ascii="Times New Roman" w:hAnsi="Times New Roman"/>
          <w:sz w:val="24"/>
          <w:szCs w:val="24"/>
        </w:rPr>
        <w:t xml:space="preserve">Nhancale, A. C., Tomo, C. D. M., Mathe, I. G. L., &amp; Mapelane, L. (2022). </w:t>
      </w:r>
      <w:r w:rsidRPr="0075213B">
        <w:rPr>
          <w:rFonts w:ascii="Times New Roman" w:hAnsi="Times New Roman"/>
          <w:i/>
          <w:iCs/>
          <w:sz w:val="24"/>
          <w:szCs w:val="24"/>
        </w:rPr>
        <w:t>Interseccionalidade, Consubstancialidade, Educação, Hábitos Culturais e Relações de Género na Vida Conjugal de Funcionários Trabalhadores</w:t>
      </w:r>
      <w:r w:rsidRPr="0075213B">
        <w:rPr>
          <w:rFonts w:ascii="Times New Roman" w:hAnsi="Times New Roman"/>
          <w:sz w:val="24"/>
          <w:szCs w:val="24"/>
        </w:rPr>
        <w:t>. In Monteiro, C. L., Dias, G. M. O., Lourenço, L., &amp; Zardin, N. R. (Org.). Novos Temas de Educação: Pembroke Collins.</w:t>
      </w:r>
    </w:p>
    <w:p w14:paraId="4E70A66B" w14:textId="77777777" w:rsidR="007D1480" w:rsidRDefault="007D1480" w:rsidP="0075213B">
      <w:pPr>
        <w:jc w:val="both"/>
      </w:pPr>
      <w:r w:rsidRPr="0075213B">
        <w:rPr>
          <w:rFonts w:ascii="Times New Roman" w:hAnsi="Times New Roman"/>
          <w:sz w:val="24"/>
          <w:szCs w:val="24"/>
        </w:rPr>
        <w:t xml:space="preserve">Oliveira, C. S. &amp; Mendes, A. (2017). Brincar ao Género: socialização e igualdade na educação pré-escolar. </w:t>
      </w:r>
      <w:r w:rsidRPr="0075213B">
        <w:rPr>
          <w:rFonts w:ascii="Times New Roman" w:hAnsi="Times New Roman"/>
          <w:i/>
          <w:sz w:val="24"/>
          <w:szCs w:val="24"/>
        </w:rPr>
        <w:t>ex aequo</w:t>
      </w:r>
      <w:r w:rsidRPr="0075213B">
        <w:rPr>
          <w:rFonts w:ascii="Times New Roman" w:hAnsi="Times New Roman"/>
          <w:sz w:val="24"/>
          <w:szCs w:val="24"/>
        </w:rPr>
        <w:t>, 36. 167-186.</w:t>
      </w:r>
    </w:p>
    <w:p w14:paraId="0011CAAA" w14:textId="01FC0FAF" w:rsidR="007D1480" w:rsidRDefault="007D1480" w:rsidP="0075213B">
      <w:pPr>
        <w:jc w:val="both"/>
      </w:pPr>
      <w:r w:rsidRPr="0075213B">
        <w:rPr>
          <w:rFonts w:ascii="Times New Roman" w:hAnsi="Times New Roman"/>
          <w:sz w:val="24"/>
          <w:szCs w:val="24"/>
        </w:rPr>
        <w:t xml:space="preserve">Pimentel, J. S. (2013). </w:t>
      </w:r>
      <w:r w:rsidRPr="0075213B">
        <w:rPr>
          <w:rFonts w:ascii="Times New Roman" w:hAnsi="Times New Roman"/>
          <w:i/>
          <w:iCs/>
          <w:sz w:val="24"/>
          <w:szCs w:val="24"/>
        </w:rPr>
        <w:t>Cidade de Maputo: caso de estudo</w:t>
      </w:r>
      <w:r w:rsidRPr="0075213B">
        <w:rPr>
          <w:rFonts w:ascii="Times New Roman" w:hAnsi="Times New Roman"/>
          <w:sz w:val="24"/>
          <w:szCs w:val="24"/>
        </w:rPr>
        <w:t xml:space="preserve">. </w:t>
      </w:r>
      <w:r w:rsidRPr="00B701E3">
        <w:t>https://rdpc.uevora.pt › JPimentel_Parte2</w:t>
      </w:r>
      <w:r>
        <w:t>.</w:t>
      </w:r>
    </w:p>
    <w:p w14:paraId="7589BA57" w14:textId="77777777" w:rsidR="007D1480" w:rsidRDefault="007D1480" w:rsidP="0075213B">
      <w:pPr>
        <w:jc w:val="both"/>
      </w:pPr>
      <w:r w:rsidRPr="0075213B">
        <w:rPr>
          <w:rFonts w:ascii="Times New Roman" w:hAnsi="Times New Roman"/>
          <w:sz w:val="24"/>
          <w:szCs w:val="24"/>
        </w:rPr>
        <w:t xml:space="preserve">Prates, M. I. (2014). </w:t>
      </w:r>
      <w:r w:rsidRPr="0075213B">
        <w:rPr>
          <w:rFonts w:ascii="Times New Roman" w:hAnsi="Times New Roman"/>
          <w:i/>
          <w:sz w:val="24"/>
          <w:szCs w:val="24"/>
        </w:rPr>
        <w:t>Educação para a igualdade de género: um estudo de caso numa instituição de educação de infância.</w:t>
      </w:r>
      <w:r w:rsidRPr="0075213B">
        <w:rPr>
          <w:rFonts w:ascii="Times New Roman" w:hAnsi="Times New Roman"/>
          <w:sz w:val="24"/>
          <w:szCs w:val="24"/>
        </w:rPr>
        <w:t xml:space="preserve"> Dissertação de Mestrado. Instituto Politécnico de Portalegre: Escola Superior de Educação De Portalegre.</w:t>
      </w:r>
    </w:p>
    <w:p w14:paraId="7F39F96D" w14:textId="77777777" w:rsidR="0090311E" w:rsidRPr="0075213B" w:rsidRDefault="0090311E" w:rsidP="0075213B">
      <w:pPr>
        <w:spacing w:after="200" w:line="276" w:lineRule="auto"/>
        <w:jc w:val="both"/>
        <w:rPr>
          <w:rFonts w:ascii="Calibri" w:eastAsia="Calibri" w:hAnsi="Calibri" w:cs="Times New Roman"/>
          <w:kern w:val="0"/>
          <w:lang w:val="pt-PT"/>
          <w14:ligatures w14:val="none"/>
        </w:rPr>
      </w:pPr>
      <w:r w:rsidRPr="0075213B">
        <w:rPr>
          <w:rFonts w:ascii="Times New Roman" w:hAnsi="Times New Roman"/>
          <w:sz w:val="24"/>
          <w:szCs w:val="24"/>
        </w:rPr>
        <w:t xml:space="preserve">República de Moçambique. (2020). </w:t>
      </w:r>
      <w:r w:rsidRPr="0075213B">
        <w:rPr>
          <w:rFonts w:ascii="Times New Roman" w:hAnsi="Times New Roman"/>
          <w:i/>
          <w:iCs/>
          <w:sz w:val="24"/>
          <w:szCs w:val="24"/>
        </w:rPr>
        <w:t>Política de género e estratégia da sua implementação</w:t>
      </w:r>
      <w:r w:rsidRPr="0075213B">
        <w:rPr>
          <w:rFonts w:ascii="Times New Roman" w:hAnsi="Times New Roman"/>
          <w:sz w:val="24"/>
          <w:szCs w:val="24"/>
        </w:rPr>
        <w:t>. Maputo, DC: Autor.</w:t>
      </w:r>
    </w:p>
    <w:p w14:paraId="010D0EA9" w14:textId="77777777" w:rsidR="0090311E" w:rsidRDefault="0090311E" w:rsidP="0075213B">
      <w:pPr>
        <w:jc w:val="both"/>
      </w:pPr>
      <w:r w:rsidRPr="0075213B">
        <w:rPr>
          <w:rFonts w:ascii="Times New Roman" w:hAnsi="Times New Roman"/>
          <w:sz w:val="24"/>
          <w:szCs w:val="24"/>
        </w:rPr>
        <w:t>Rossini, R. E., Saidel, R. G., Calió, S. A &amp; Jesus, I. L. (1997). Ensino e educação com igualdade de género na infância e na adolescência: guia prático para educadores e educadoras.</w:t>
      </w:r>
      <w:r w:rsidRPr="0075213B">
        <w:rPr>
          <w:rFonts w:ascii="Times New Roman" w:hAnsi="Times New Roman"/>
          <w:bCs/>
          <w:i/>
          <w:sz w:val="24"/>
          <w:szCs w:val="24"/>
        </w:rPr>
        <w:t xml:space="preserve"> Comunicação </w:t>
      </w:r>
      <w:r w:rsidRPr="0075213B">
        <w:rPr>
          <w:rFonts w:ascii="Times New Roman" w:hAnsi="Times New Roman"/>
          <w:i/>
          <w:sz w:val="24"/>
          <w:szCs w:val="24"/>
        </w:rPr>
        <w:t xml:space="preserve">&amp; </w:t>
      </w:r>
      <w:r w:rsidRPr="0075213B">
        <w:rPr>
          <w:rFonts w:ascii="Times New Roman" w:hAnsi="Times New Roman"/>
          <w:bCs/>
          <w:i/>
          <w:sz w:val="24"/>
          <w:szCs w:val="24"/>
        </w:rPr>
        <w:t>Educação</w:t>
      </w:r>
      <w:r w:rsidRPr="0075213B">
        <w:rPr>
          <w:rFonts w:ascii="Times New Roman" w:hAnsi="Times New Roman"/>
          <w:b/>
          <w:bCs/>
          <w:sz w:val="24"/>
          <w:szCs w:val="24"/>
        </w:rPr>
        <w:t xml:space="preserve">, </w:t>
      </w:r>
      <w:r w:rsidRPr="0075213B">
        <w:rPr>
          <w:rFonts w:ascii="Times New Roman" w:hAnsi="Times New Roman"/>
          <w:bCs/>
          <w:iCs/>
          <w:sz w:val="24"/>
          <w:szCs w:val="24"/>
        </w:rPr>
        <w:t>S</w:t>
      </w:r>
      <w:r w:rsidRPr="0075213B">
        <w:rPr>
          <w:rFonts w:ascii="Times New Roman" w:hAnsi="Times New Roman"/>
          <w:sz w:val="24"/>
          <w:szCs w:val="24"/>
        </w:rPr>
        <w:t>ão</w:t>
      </w:r>
      <w:r w:rsidRPr="0075213B">
        <w:rPr>
          <w:rFonts w:ascii="Times New Roman" w:hAnsi="Times New Roman"/>
          <w:bCs/>
          <w:iCs/>
          <w:sz w:val="24"/>
          <w:szCs w:val="24"/>
        </w:rPr>
        <w:t xml:space="preserve"> </w:t>
      </w:r>
      <w:r w:rsidRPr="0075213B">
        <w:rPr>
          <w:rFonts w:ascii="Times New Roman" w:hAnsi="Times New Roman"/>
          <w:bCs/>
          <w:sz w:val="24"/>
          <w:szCs w:val="24"/>
        </w:rPr>
        <w:t>Paulo,</w:t>
      </w:r>
      <w:r w:rsidRPr="0075213B">
        <w:rPr>
          <w:rFonts w:ascii="Times New Roman" w:hAnsi="Times New Roman"/>
          <w:sz w:val="24"/>
          <w:szCs w:val="24"/>
        </w:rPr>
        <w:t xml:space="preserve"> (81), </w:t>
      </w:r>
      <w:r w:rsidRPr="0075213B">
        <w:rPr>
          <w:rFonts w:ascii="Times New Roman" w:hAnsi="Times New Roman"/>
          <w:bCs/>
          <w:sz w:val="24"/>
          <w:szCs w:val="24"/>
        </w:rPr>
        <w:t>11</w:t>
      </w:r>
      <w:r w:rsidRPr="0075213B">
        <w:rPr>
          <w:rFonts w:ascii="Times New Roman" w:hAnsi="Times New Roman"/>
          <w:bCs/>
          <w:iCs/>
          <w:sz w:val="24"/>
          <w:szCs w:val="24"/>
        </w:rPr>
        <w:t>7 –</w:t>
      </w:r>
      <w:r w:rsidRPr="0075213B">
        <w:rPr>
          <w:rFonts w:ascii="Times New Roman" w:hAnsi="Times New Roman"/>
          <w:bCs/>
          <w:sz w:val="24"/>
          <w:szCs w:val="24"/>
        </w:rPr>
        <w:t xml:space="preserve"> 122.</w:t>
      </w:r>
    </w:p>
    <w:p w14:paraId="52EEBD41" w14:textId="17AF5A45" w:rsidR="0090311E" w:rsidRDefault="0090311E" w:rsidP="0075213B">
      <w:pPr>
        <w:jc w:val="both"/>
      </w:pPr>
      <w:r w:rsidRPr="0075213B">
        <w:rPr>
          <w:rFonts w:ascii="Times New Roman" w:hAnsi="Times New Roman"/>
          <w:sz w:val="24"/>
          <w:szCs w:val="24"/>
        </w:rPr>
        <w:t xml:space="preserve">Sahin, E. (2014) Gender Equity in Education. </w:t>
      </w:r>
      <w:r w:rsidRPr="0075213B">
        <w:rPr>
          <w:rFonts w:ascii="Times New Roman" w:hAnsi="Times New Roman"/>
          <w:i/>
          <w:sz w:val="24"/>
          <w:szCs w:val="24"/>
        </w:rPr>
        <w:t>Open Journal of Social Sciences</w:t>
      </w:r>
      <w:r w:rsidRPr="0075213B">
        <w:rPr>
          <w:rFonts w:ascii="Times New Roman" w:hAnsi="Times New Roman"/>
          <w:sz w:val="24"/>
          <w:szCs w:val="24"/>
        </w:rPr>
        <w:t xml:space="preserve">, 2, 59-63. </w:t>
      </w:r>
      <w:hyperlink r:id="rId18" w:history="1">
        <w:r w:rsidRPr="0075213B">
          <w:rPr>
            <w:rStyle w:val="Hyperlink"/>
            <w:rFonts w:ascii="Times New Roman" w:hAnsi="Times New Roman"/>
            <w:sz w:val="24"/>
            <w:szCs w:val="24"/>
          </w:rPr>
          <w:t>http://dx.doi.org/10.4236/jss.2014.21007</w:t>
        </w:r>
      </w:hyperlink>
    </w:p>
    <w:p w14:paraId="2BDF4360" w14:textId="77777777" w:rsidR="0090311E" w:rsidRDefault="0090311E" w:rsidP="0075213B">
      <w:pPr>
        <w:jc w:val="both"/>
      </w:pPr>
      <w:r w:rsidRPr="0075213B">
        <w:rPr>
          <w:rFonts w:ascii="Times New Roman" w:hAnsi="Times New Roman"/>
          <w:sz w:val="24"/>
          <w:szCs w:val="24"/>
        </w:rPr>
        <w:t xml:space="preserve">Scott, J. (1989). </w:t>
      </w:r>
      <w:r w:rsidRPr="0075213B">
        <w:rPr>
          <w:rFonts w:ascii="Times New Roman" w:hAnsi="Times New Roman"/>
          <w:i/>
          <w:iCs/>
          <w:sz w:val="24"/>
          <w:szCs w:val="24"/>
        </w:rPr>
        <w:t>Gender: a useful category of historical analyses. Gender and the politics of history</w:t>
      </w:r>
      <w:r w:rsidRPr="0075213B">
        <w:rPr>
          <w:rFonts w:ascii="Times New Roman" w:hAnsi="Times New Roman"/>
          <w:sz w:val="24"/>
          <w:szCs w:val="24"/>
        </w:rPr>
        <w:t>. New York: Columbia University Press</w:t>
      </w:r>
    </w:p>
    <w:p w14:paraId="3B001F61" w14:textId="77777777" w:rsidR="0090311E" w:rsidRDefault="0090311E" w:rsidP="0075213B">
      <w:pPr>
        <w:jc w:val="both"/>
      </w:pPr>
      <w:r w:rsidRPr="0075213B">
        <w:rPr>
          <w:rFonts w:ascii="Times New Roman" w:eastAsia="Calibri" w:hAnsi="Times New Roman" w:cs="Times New Roman"/>
          <w:kern w:val="0"/>
          <w:sz w:val="24"/>
          <w:szCs w:val="24"/>
          <w:lang w:val="pt-PT"/>
          <w14:ligatures w14:val="none"/>
        </w:rPr>
        <w:t xml:space="preserve">Teles, N. &amp; Brás, E. J. (2010). </w:t>
      </w:r>
      <w:r w:rsidRPr="0075213B">
        <w:rPr>
          <w:rFonts w:ascii="Times New Roman" w:eastAsia="Calibri" w:hAnsi="Times New Roman" w:cs="Times New Roman"/>
          <w:i/>
          <w:kern w:val="0"/>
          <w:sz w:val="24"/>
          <w:szCs w:val="24"/>
          <w:lang w:val="pt-PT"/>
          <w14:ligatures w14:val="none"/>
        </w:rPr>
        <w:t>Género e direitos humanos em Moçambique</w:t>
      </w:r>
      <w:r w:rsidRPr="0075213B">
        <w:rPr>
          <w:rFonts w:ascii="Times New Roman" w:eastAsia="Calibri" w:hAnsi="Times New Roman" w:cs="Times New Roman"/>
          <w:kern w:val="0"/>
          <w:sz w:val="24"/>
          <w:szCs w:val="24"/>
          <w:lang w:val="pt-PT"/>
          <w14:ligatures w14:val="none"/>
        </w:rPr>
        <w:t>. Maputo. Moçambique: Universidade Eduardo Mondlane.</w:t>
      </w:r>
    </w:p>
    <w:p w14:paraId="0EC0A781" w14:textId="77777777" w:rsidR="0090311E" w:rsidRDefault="0090311E" w:rsidP="0075213B">
      <w:pPr>
        <w:jc w:val="both"/>
      </w:pPr>
      <w:r w:rsidRPr="0075213B">
        <w:rPr>
          <w:rFonts w:ascii="Times New Roman" w:hAnsi="Times New Roman"/>
          <w:sz w:val="24"/>
          <w:szCs w:val="24"/>
        </w:rPr>
        <w:t xml:space="preserve">Triviños, A. N. S. (1987). </w:t>
      </w:r>
      <w:r w:rsidRPr="0075213B">
        <w:rPr>
          <w:rFonts w:ascii="Times New Roman" w:hAnsi="Times New Roman"/>
          <w:i/>
          <w:iCs/>
          <w:sz w:val="24"/>
          <w:szCs w:val="24"/>
        </w:rPr>
        <w:t>Introdução à pesquisa em ciências sociais: a pesquisa qualitativa em educação</w:t>
      </w:r>
      <w:r w:rsidRPr="0075213B">
        <w:rPr>
          <w:rFonts w:ascii="Times New Roman" w:hAnsi="Times New Roman"/>
          <w:sz w:val="24"/>
          <w:szCs w:val="24"/>
        </w:rPr>
        <w:t>. São Paulo: Atlas.</w:t>
      </w:r>
    </w:p>
    <w:p w14:paraId="4EAB3C15" w14:textId="7C47300A" w:rsidR="007D1480" w:rsidRDefault="0090311E" w:rsidP="0075213B">
      <w:pPr>
        <w:jc w:val="both"/>
      </w:pPr>
      <w:r w:rsidRPr="0075213B">
        <w:rPr>
          <w:rFonts w:ascii="Times New Roman" w:hAnsi="Times New Roman"/>
          <w:sz w:val="24"/>
          <w:szCs w:val="24"/>
        </w:rPr>
        <w:t xml:space="preserve">Universidade de São Paulo - NEMGE/CNPq. (2006). </w:t>
      </w:r>
      <w:r w:rsidRPr="0075213B">
        <w:rPr>
          <w:rFonts w:ascii="Times New Roman" w:hAnsi="Times New Roman"/>
          <w:i/>
          <w:iCs/>
          <w:sz w:val="24"/>
          <w:szCs w:val="24"/>
        </w:rPr>
        <w:t>Ensino e educação com igualdade de gênero na infância e na adolescência: Guia prático para educadores e educadoras.</w:t>
      </w:r>
      <w:r w:rsidRPr="0075213B">
        <w:rPr>
          <w:rFonts w:ascii="Times New Roman" w:hAnsi="Times New Roman"/>
          <w:sz w:val="24"/>
          <w:szCs w:val="24"/>
        </w:rPr>
        <w:t xml:space="preserve"> (2ª ed.) São Paulo: NEMGE/CNPq</w:t>
      </w:r>
    </w:p>
    <w:p w14:paraId="096084D7" w14:textId="77777777" w:rsidR="001F2C8F" w:rsidRDefault="001F2C8F" w:rsidP="0075213B">
      <w:pPr>
        <w:jc w:val="both"/>
      </w:pPr>
      <w:r w:rsidRPr="0075213B">
        <w:rPr>
          <w:rFonts w:ascii="Times New Roman" w:hAnsi="Times New Roman"/>
          <w:sz w:val="24"/>
          <w:szCs w:val="24"/>
        </w:rPr>
        <w:t xml:space="preserve">Vianna, C., Carreira, D., Leão, I., Unbehaum, S., Carneiro, S. &amp; Cavasin, S. (2016). Gênero e educação: fortalecendo uma agenda para as políticas educacionais. São Paulo: Ação Educativa, </w:t>
      </w:r>
      <w:r w:rsidRPr="0075213B">
        <w:rPr>
          <w:rFonts w:ascii="Times New Roman" w:hAnsi="Times New Roman"/>
          <w:i/>
          <w:iCs/>
          <w:sz w:val="24"/>
          <w:szCs w:val="24"/>
        </w:rPr>
        <w:t>Cladem, Ecos</w:t>
      </w:r>
      <w:r w:rsidRPr="0075213B">
        <w:rPr>
          <w:rFonts w:ascii="Times New Roman" w:hAnsi="Times New Roman"/>
          <w:sz w:val="24"/>
          <w:szCs w:val="24"/>
        </w:rPr>
        <w:t>, Geledés, Fundação Carlos Chagas.</w:t>
      </w:r>
    </w:p>
    <w:p w14:paraId="638C87EC" w14:textId="77777777" w:rsidR="001F2C8F" w:rsidRDefault="001F2C8F" w:rsidP="0075213B">
      <w:pPr>
        <w:jc w:val="both"/>
      </w:pPr>
      <w:r w:rsidRPr="0075213B">
        <w:rPr>
          <w:rFonts w:ascii="Times New Roman" w:hAnsi="Times New Roman"/>
          <w:sz w:val="24"/>
          <w:szCs w:val="24"/>
        </w:rPr>
        <w:t xml:space="preserve">Vieira, A. C. S., Raimundo, A. C. de L. &amp; Da Silva, R. de C. L. (2019). </w:t>
      </w:r>
      <w:r w:rsidRPr="0075213B">
        <w:rPr>
          <w:rFonts w:ascii="Times New Roman" w:hAnsi="Times New Roman"/>
          <w:i/>
          <w:iCs/>
          <w:sz w:val="24"/>
          <w:szCs w:val="24"/>
        </w:rPr>
        <w:t>Estimulação precoce na primeira infância: reflexões e experiências</w:t>
      </w:r>
      <w:r w:rsidRPr="0075213B">
        <w:rPr>
          <w:rFonts w:ascii="Times New Roman" w:hAnsi="Times New Roman"/>
          <w:sz w:val="24"/>
          <w:szCs w:val="24"/>
        </w:rPr>
        <w:t>. Campo Grande: Editora Inovar.</w:t>
      </w:r>
    </w:p>
    <w:p w14:paraId="21475A1A" w14:textId="258F31DB" w:rsidR="001F2C8F" w:rsidRDefault="001F2C8F" w:rsidP="0075213B">
      <w:pPr>
        <w:jc w:val="both"/>
      </w:pPr>
      <w:bookmarkStart w:id="18" w:name="_Hlk163550806"/>
      <w:r w:rsidRPr="0075213B">
        <w:rPr>
          <w:rFonts w:ascii="Times New Roman" w:hAnsi="Times New Roman"/>
          <w:sz w:val="24"/>
          <w:szCs w:val="24"/>
        </w:rPr>
        <w:lastRenderedPageBreak/>
        <w:t>vvob &amp; FAWE. (2019)</w:t>
      </w:r>
      <w:bookmarkEnd w:id="18"/>
      <w:r w:rsidRPr="0075213B">
        <w:rPr>
          <w:rFonts w:ascii="Times New Roman" w:hAnsi="Times New Roman"/>
          <w:sz w:val="24"/>
          <w:szCs w:val="24"/>
        </w:rPr>
        <w:t xml:space="preserve">. </w:t>
      </w:r>
      <w:r w:rsidRPr="0075213B">
        <w:rPr>
          <w:rFonts w:ascii="Times New Roman" w:hAnsi="Times New Roman"/>
          <w:i/>
          <w:iCs/>
          <w:sz w:val="24"/>
          <w:szCs w:val="24"/>
        </w:rPr>
        <w:t>Gender-Responsive Pedagogy in Early Childhood Education: A toolkit for teachers and school leaders</w:t>
      </w:r>
      <w:r w:rsidRPr="0075213B">
        <w:rPr>
          <w:rFonts w:ascii="Times New Roman" w:hAnsi="Times New Roman"/>
          <w:sz w:val="24"/>
          <w:szCs w:val="24"/>
        </w:rPr>
        <w:t>. Kenya: Sven Rooms.  https://www.vvob.org/sites/belgium/files/grp_in_ece_toolkit_one-sided_300dpi.pdf</w:t>
      </w:r>
    </w:p>
    <w:p w14:paraId="472345DB" w14:textId="77777777" w:rsidR="001F2C8F" w:rsidRDefault="001F2C8F" w:rsidP="0075213B">
      <w:pPr>
        <w:jc w:val="both"/>
      </w:pPr>
      <w:r w:rsidRPr="0075213B">
        <w:rPr>
          <w:rFonts w:ascii="Times New Roman" w:hAnsi="Times New Roman"/>
          <w:sz w:val="24"/>
          <w:szCs w:val="24"/>
        </w:rPr>
        <w:t xml:space="preserve">West, C. &amp; Zimmerman, D. H. (1987). </w:t>
      </w:r>
      <w:r w:rsidRPr="0075213B">
        <w:rPr>
          <w:rFonts w:ascii="Times New Roman" w:hAnsi="Times New Roman"/>
          <w:i/>
          <w:iCs/>
          <w:sz w:val="24"/>
          <w:szCs w:val="24"/>
        </w:rPr>
        <w:t>Doing Gender. Gender and Society</w:t>
      </w:r>
      <w:r w:rsidRPr="0075213B">
        <w:rPr>
          <w:rFonts w:ascii="Times New Roman" w:hAnsi="Times New Roman"/>
          <w:sz w:val="24"/>
          <w:szCs w:val="24"/>
        </w:rPr>
        <w:t>. 2. 25-151.</w:t>
      </w:r>
    </w:p>
    <w:p w14:paraId="15267AD7" w14:textId="2B23EA60" w:rsidR="00A82C6A" w:rsidRDefault="00A82C6A" w:rsidP="00A82C6A"/>
    <w:sectPr w:rsidR="00A82C6A" w:rsidSect="005F4062">
      <w:headerReference w:type="even" r:id="rId19"/>
      <w:headerReference w:type="default" r:id="rId20"/>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BE42DC" w14:textId="77777777" w:rsidR="00DA4FE8" w:rsidRDefault="00DA4FE8" w:rsidP="00CF2AB7">
      <w:pPr>
        <w:spacing w:after="0" w:line="240" w:lineRule="auto"/>
      </w:pPr>
      <w:r>
        <w:separator/>
      </w:r>
    </w:p>
  </w:endnote>
  <w:endnote w:type="continuationSeparator" w:id="0">
    <w:p w14:paraId="078DB1E8" w14:textId="77777777" w:rsidR="00DA4FE8" w:rsidRDefault="00DA4FE8" w:rsidP="00CF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D53EBD" w14:textId="77777777" w:rsidR="00DA4FE8" w:rsidRDefault="00DA4FE8" w:rsidP="00CF2AB7">
      <w:pPr>
        <w:spacing w:after="0" w:line="240" w:lineRule="auto"/>
      </w:pPr>
      <w:r>
        <w:separator/>
      </w:r>
    </w:p>
  </w:footnote>
  <w:footnote w:type="continuationSeparator" w:id="0">
    <w:p w14:paraId="05C2A1D8" w14:textId="77777777" w:rsidR="00DA4FE8" w:rsidRDefault="00DA4FE8" w:rsidP="00CF2AB7">
      <w:pPr>
        <w:spacing w:after="0" w:line="240" w:lineRule="auto"/>
      </w:pPr>
      <w:r>
        <w:continuationSeparator/>
      </w:r>
    </w:p>
  </w:footnote>
  <w:footnote w:id="1">
    <w:p w14:paraId="363BAE79" w14:textId="77777777" w:rsidR="00CF2AB7" w:rsidRDefault="00CF2AB7" w:rsidP="00CF2AB7">
      <w:pPr>
        <w:pStyle w:val="FootnoteText"/>
        <w:rPr>
          <w:rFonts w:ascii="Calibri" w:hAnsi="Calibri"/>
        </w:rPr>
      </w:pPr>
      <w:r>
        <w:rPr>
          <w:rStyle w:val="FootnoteReference"/>
        </w:rPr>
        <w:footnoteRef/>
      </w:r>
      <w:r>
        <w:t xml:space="preserve"> </w:t>
      </w:r>
      <w:bookmarkStart w:id="8" w:name="_Hlk168991670"/>
      <w:r>
        <w:t xml:space="preserve">Código formado com denominação da instituição, posição de participação da mesma, inicial do cargo e posição de participação da participante. </w:t>
      </w:r>
      <w:bookmarkEnd w:id="8"/>
    </w:p>
  </w:footnote>
  <w:footnote w:id="2">
    <w:p w14:paraId="2AA11C38" w14:textId="77777777" w:rsidR="00CF2AB7" w:rsidRDefault="00CF2AB7" w:rsidP="00CF2AB7">
      <w:pPr>
        <w:pStyle w:val="FootnoteText"/>
        <w:rPr>
          <w:kern w:val="0"/>
        </w:rPr>
      </w:pPr>
      <w:r>
        <w:rPr>
          <w:rStyle w:val="FootnoteReference"/>
        </w:rPr>
        <w:footnoteRef/>
      </w:r>
      <w:r>
        <w:t xml:space="preserve"> Código formado com denominação da instituição e posição de participação da mesma.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2101859481"/>
      <w:docPartObj>
        <w:docPartGallery w:val="Page Numbers (Top of Page)"/>
        <w:docPartUnique/>
      </w:docPartObj>
    </w:sdtPr>
    <w:sdtEndPr>
      <w:rPr>
        <w:rStyle w:val="PageNumber"/>
      </w:rPr>
    </w:sdtEndPr>
    <w:sdtContent>
      <w:p w14:paraId="44574743" w14:textId="69E6411B" w:rsidR="005F4062" w:rsidRDefault="005F4062" w:rsidP="00E60B1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A0E3FD" w14:textId="77777777" w:rsidR="005F4062" w:rsidRDefault="005F4062" w:rsidP="005F4062">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407419879"/>
      <w:docPartObj>
        <w:docPartGallery w:val="Page Numbers (Top of Page)"/>
        <w:docPartUnique/>
      </w:docPartObj>
    </w:sdtPr>
    <w:sdtEndPr>
      <w:rPr>
        <w:rStyle w:val="PageNumber"/>
      </w:rPr>
    </w:sdtEndPr>
    <w:sdtContent>
      <w:p w14:paraId="27B9ACDF" w14:textId="22370F19" w:rsidR="005F4062" w:rsidRDefault="005F4062" w:rsidP="00E60B1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911CC">
          <w:rPr>
            <w:rStyle w:val="PageNumber"/>
            <w:noProof/>
          </w:rPr>
          <w:t>21</w:t>
        </w:r>
        <w:r>
          <w:rPr>
            <w:rStyle w:val="PageNumber"/>
          </w:rPr>
          <w:fldChar w:fldCharType="end"/>
        </w:r>
      </w:p>
    </w:sdtContent>
  </w:sdt>
  <w:p w14:paraId="0104B9E4" w14:textId="5DBA006F" w:rsidR="00527B75" w:rsidRDefault="00527B75" w:rsidP="005F4062">
    <w:pPr>
      <w:pStyle w:val="Header"/>
      <w:ind w:right="360"/>
      <w:jc w:val="right"/>
    </w:pPr>
  </w:p>
  <w:p w14:paraId="42392C01" w14:textId="77777777" w:rsidR="00527B75" w:rsidRDefault="00527B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95655"/>
    <w:multiLevelType w:val="hybridMultilevel"/>
    <w:tmpl w:val="6AD0160A"/>
    <w:lvl w:ilvl="0" w:tplc="D2520B28">
      <w:start w:val="1"/>
      <w:numFmt w:val="upperLetter"/>
      <w:lvlText w:val="%1."/>
      <w:lvlJc w:val="left"/>
      <w:pPr>
        <w:ind w:left="1778" w:hanging="360"/>
      </w:pPr>
    </w:lvl>
    <w:lvl w:ilvl="1" w:tplc="0C000019">
      <w:start w:val="1"/>
      <w:numFmt w:val="lowerLetter"/>
      <w:lvlText w:val="%2."/>
      <w:lvlJc w:val="left"/>
      <w:pPr>
        <w:ind w:left="2498" w:hanging="360"/>
      </w:pPr>
    </w:lvl>
    <w:lvl w:ilvl="2" w:tplc="0C00001B">
      <w:start w:val="1"/>
      <w:numFmt w:val="lowerRoman"/>
      <w:lvlText w:val="%3."/>
      <w:lvlJc w:val="right"/>
      <w:pPr>
        <w:ind w:left="3218" w:hanging="180"/>
      </w:pPr>
    </w:lvl>
    <w:lvl w:ilvl="3" w:tplc="0C00000F">
      <w:start w:val="1"/>
      <w:numFmt w:val="decimal"/>
      <w:lvlText w:val="%4."/>
      <w:lvlJc w:val="left"/>
      <w:pPr>
        <w:ind w:left="3938" w:hanging="360"/>
      </w:pPr>
    </w:lvl>
    <w:lvl w:ilvl="4" w:tplc="0C000019">
      <w:start w:val="1"/>
      <w:numFmt w:val="lowerLetter"/>
      <w:lvlText w:val="%5."/>
      <w:lvlJc w:val="left"/>
      <w:pPr>
        <w:ind w:left="4658" w:hanging="360"/>
      </w:pPr>
    </w:lvl>
    <w:lvl w:ilvl="5" w:tplc="0C00001B">
      <w:start w:val="1"/>
      <w:numFmt w:val="lowerRoman"/>
      <w:lvlText w:val="%6."/>
      <w:lvlJc w:val="right"/>
      <w:pPr>
        <w:ind w:left="5378" w:hanging="180"/>
      </w:pPr>
    </w:lvl>
    <w:lvl w:ilvl="6" w:tplc="0C00000F">
      <w:start w:val="1"/>
      <w:numFmt w:val="decimal"/>
      <w:lvlText w:val="%7."/>
      <w:lvlJc w:val="left"/>
      <w:pPr>
        <w:ind w:left="6098" w:hanging="360"/>
      </w:pPr>
    </w:lvl>
    <w:lvl w:ilvl="7" w:tplc="0C000019">
      <w:start w:val="1"/>
      <w:numFmt w:val="lowerLetter"/>
      <w:lvlText w:val="%8."/>
      <w:lvlJc w:val="left"/>
      <w:pPr>
        <w:ind w:left="6818" w:hanging="360"/>
      </w:pPr>
    </w:lvl>
    <w:lvl w:ilvl="8" w:tplc="0C00001B">
      <w:start w:val="1"/>
      <w:numFmt w:val="lowerRoman"/>
      <w:lvlText w:val="%9."/>
      <w:lvlJc w:val="right"/>
      <w:pPr>
        <w:ind w:left="7538" w:hanging="180"/>
      </w:pPr>
    </w:lvl>
  </w:abstractNum>
  <w:abstractNum w:abstractNumId="1">
    <w:nsid w:val="0D4F4B5E"/>
    <w:multiLevelType w:val="hybridMultilevel"/>
    <w:tmpl w:val="5734FC36"/>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
    <w:nsid w:val="1E4C02F7"/>
    <w:multiLevelType w:val="hybridMultilevel"/>
    <w:tmpl w:val="CBF86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85699D"/>
    <w:multiLevelType w:val="hybridMultilevel"/>
    <w:tmpl w:val="03D2C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BA91D59"/>
    <w:multiLevelType w:val="hybridMultilevel"/>
    <w:tmpl w:val="2822143C"/>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5">
    <w:nsid w:val="2C7408A7"/>
    <w:multiLevelType w:val="hybridMultilevel"/>
    <w:tmpl w:val="5C50F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4F16E4"/>
    <w:multiLevelType w:val="hybridMultilevel"/>
    <w:tmpl w:val="B6A44928"/>
    <w:lvl w:ilvl="0" w:tplc="0C000001">
      <w:start w:val="1"/>
      <w:numFmt w:val="bullet"/>
      <w:lvlText w:val=""/>
      <w:lvlJc w:val="left"/>
      <w:pPr>
        <w:ind w:left="720" w:hanging="360"/>
      </w:pPr>
      <w:rPr>
        <w:rFonts w:ascii="Symbol" w:hAnsi="Symbol" w:hint="default"/>
      </w:rPr>
    </w:lvl>
    <w:lvl w:ilvl="1" w:tplc="0C000003">
      <w:start w:val="1"/>
      <w:numFmt w:val="bullet"/>
      <w:lvlText w:val="o"/>
      <w:lvlJc w:val="left"/>
      <w:pPr>
        <w:ind w:left="1440" w:hanging="360"/>
      </w:pPr>
      <w:rPr>
        <w:rFonts w:ascii="Courier New" w:hAnsi="Courier New" w:cs="Courier New" w:hint="default"/>
      </w:rPr>
    </w:lvl>
    <w:lvl w:ilvl="2" w:tplc="0C000005">
      <w:start w:val="1"/>
      <w:numFmt w:val="bullet"/>
      <w:lvlText w:val=""/>
      <w:lvlJc w:val="left"/>
      <w:pPr>
        <w:ind w:left="2160" w:hanging="360"/>
      </w:pPr>
      <w:rPr>
        <w:rFonts w:ascii="Wingdings" w:hAnsi="Wingdings" w:hint="default"/>
      </w:rPr>
    </w:lvl>
    <w:lvl w:ilvl="3" w:tplc="0C000001">
      <w:start w:val="1"/>
      <w:numFmt w:val="bullet"/>
      <w:lvlText w:val=""/>
      <w:lvlJc w:val="left"/>
      <w:pPr>
        <w:ind w:left="2880" w:hanging="360"/>
      </w:pPr>
      <w:rPr>
        <w:rFonts w:ascii="Symbol" w:hAnsi="Symbol" w:hint="default"/>
      </w:rPr>
    </w:lvl>
    <w:lvl w:ilvl="4" w:tplc="0C000003">
      <w:start w:val="1"/>
      <w:numFmt w:val="bullet"/>
      <w:lvlText w:val="o"/>
      <w:lvlJc w:val="left"/>
      <w:pPr>
        <w:ind w:left="3600" w:hanging="360"/>
      </w:pPr>
      <w:rPr>
        <w:rFonts w:ascii="Courier New" w:hAnsi="Courier New" w:cs="Courier New" w:hint="default"/>
      </w:rPr>
    </w:lvl>
    <w:lvl w:ilvl="5" w:tplc="0C000005">
      <w:start w:val="1"/>
      <w:numFmt w:val="bullet"/>
      <w:lvlText w:val=""/>
      <w:lvlJc w:val="left"/>
      <w:pPr>
        <w:ind w:left="4320" w:hanging="360"/>
      </w:pPr>
      <w:rPr>
        <w:rFonts w:ascii="Wingdings" w:hAnsi="Wingdings" w:hint="default"/>
      </w:rPr>
    </w:lvl>
    <w:lvl w:ilvl="6" w:tplc="0C000001">
      <w:start w:val="1"/>
      <w:numFmt w:val="bullet"/>
      <w:lvlText w:val=""/>
      <w:lvlJc w:val="left"/>
      <w:pPr>
        <w:ind w:left="5040" w:hanging="360"/>
      </w:pPr>
      <w:rPr>
        <w:rFonts w:ascii="Symbol" w:hAnsi="Symbol" w:hint="default"/>
      </w:rPr>
    </w:lvl>
    <w:lvl w:ilvl="7" w:tplc="0C000003">
      <w:start w:val="1"/>
      <w:numFmt w:val="bullet"/>
      <w:lvlText w:val="o"/>
      <w:lvlJc w:val="left"/>
      <w:pPr>
        <w:ind w:left="5760" w:hanging="360"/>
      </w:pPr>
      <w:rPr>
        <w:rFonts w:ascii="Courier New" w:hAnsi="Courier New" w:cs="Courier New" w:hint="default"/>
      </w:rPr>
    </w:lvl>
    <w:lvl w:ilvl="8" w:tplc="0C000005">
      <w:start w:val="1"/>
      <w:numFmt w:val="bullet"/>
      <w:lvlText w:val=""/>
      <w:lvlJc w:val="left"/>
      <w:pPr>
        <w:ind w:left="6480" w:hanging="360"/>
      </w:pPr>
      <w:rPr>
        <w:rFonts w:ascii="Wingdings" w:hAnsi="Wingdings" w:hint="default"/>
      </w:rPr>
    </w:lvl>
  </w:abstractNum>
  <w:abstractNum w:abstractNumId="7">
    <w:nsid w:val="5DF9550A"/>
    <w:multiLevelType w:val="hybridMultilevel"/>
    <w:tmpl w:val="DCF08B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4310070"/>
    <w:multiLevelType w:val="hybridMultilevel"/>
    <w:tmpl w:val="CF72D7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416078"/>
    <w:multiLevelType w:val="hybridMultilevel"/>
    <w:tmpl w:val="705CFD56"/>
    <w:lvl w:ilvl="0" w:tplc="0C000001">
      <w:start w:val="1"/>
      <w:numFmt w:val="bullet"/>
      <w:lvlText w:val=""/>
      <w:lvlJc w:val="left"/>
      <w:pPr>
        <w:ind w:left="720" w:hanging="360"/>
      </w:pPr>
      <w:rPr>
        <w:rFonts w:ascii="Symbol" w:hAnsi="Symbol" w:hint="default"/>
      </w:rPr>
    </w:lvl>
    <w:lvl w:ilvl="1" w:tplc="0C000003">
      <w:start w:val="1"/>
      <w:numFmt w:val="bullet"/>
      <w:lvlText w:val="o"/>
      <w:lvlJc w:val="left"/>
      <w:pPr>
        <w:ind w:left="1440" w:hanging="360"/>
      </w:pPr>
      <w:rPr>
        <w:rFonts w:ascii="Courier New" w:hAnsi="Courier New" w:cs="Courier New" w:hint="default"/>
      </w:rPr>
    </w:lvl>
    <w:lvl w:ilvl="2" w:tplc="0C000005">
      <w:start w:val="1"/>
      <w:numFmt w:val="bullet"/>
      <w:lvlText w:val=""/>
      <w:lvlJc w:val="left"/>
      <w:pPr>
        <w:ind w:left="2160" w:hanging="360"/>
      </w:pPr>
      <w:rPr>
        <w:rFonts w:ascii="Wingdings" w:hAnsi="Wingdings" w:hint="default"/>
      </w:rPr>
    </w:lvl>
    <w:lvl w:ilvl="3" w:tplc="0C000001">
      <w:start w:val="1"/>
      <w:numFmt w:val="bullet"/>
      <w:lvlText w:val=""/>
      <w:lvlJc w:val="left"/>
      <w:pPr>
        <w:ind w:left="2880" w:hanging="360"/>
      </w:pPr>
      <w:rPr>
        <w:rFonts w:ascii="Symbol" w:hAnsi="Symbol" w:hint="default"/>
      </w:rPr>
    </w:lvl>
    <w:lvl w:ilvl="4" w:tplc="0C000003">
      <w:start w:val="1"/>
      <w:numFmt w:val="bullet"/>
      <w:lvlText w:val="o"/>
      <w:lvlJc w:val="left"/>
      <w:pPr>
        <w:ind w:left="3600" w:hanging="360"/>
      </w:pPr>
      <w:rPr>
        <w:rFonts w:ascii="Courier New" w:hAnsi="Courier New" w:cs="Courier New" w:hint="default"/>
      </w:rPr>
    </w:lvl>
    <w:lvl w:ilvl="5" w:tplc="0C000005">
      <w:start w:val="1"/>
      <w:numFmt w:val="bullet"/>
      <w:lvlText w:val=""/>
      <w:lvlJc w:val="left"/>
      <w:pPr>
        <w:ind w:left="4320" w:hanging="360"/>
      </w:pPr>
      <w:rPr>
        <w:rFonts w:ascii="Wingdings" w:hAnsi="Wingdings" w:hint="default"/>
      </w:rPr>
    </w:lvl>
    <w:lvl w:ilvl="6" w:tplc="0C000001">
      <w:start w:val="1"/>
      <w:numFmt w:val="bullet"/>
      <w:lvlText w:val=""/>
      <w:lvlJc w:val="left"/>
      <w:pPr>
        <w:ind w:left="5040" w:hanging="360"/>
      </w:pPr>
      <w:rPr>
        <w:rFonts w:ascii="Symbol" w:hAnsi="Symbol" w:hint="default"/>
      </w:rPr>
    </w:lvl>
    <w:lvl w:ilvl="7" w:tplc="0C000003">
      <w:start w:val="1"/>
      <w:numFmt w:val="bullet"/>
      <w:lvlText w:val="o"/>
      <w:lvlJc w:val="left"/>
      <w:pPr>
        <w:ind w:left="5760" w:hanging="360"/>
      </w:pPr>
      <w:rPr>
        <w:rFonts w:ascii="Courier New" w:hAnsi="Courier New" w:cs="Courier New" w:hint="default"/>
      </w:rPr>
    </w:lvl>
    <w:lvl w:ilvl="8" w:tplc="0C000005">
      <w:start w:val="1"/>
      <w:numFmt w:val="bullet"/>
      <w:lvlText w:val=""/>
      <w:lvlJc w:val="left"/>
      <w:pPr>
        <w:ind w:left="6480" w:hanging="360"/>
      </w:pPr>
      <w:rPr>
        <w:rFonts w:ascii="Wingdings" w:hAnsi="Wingdings" w:hint="default"/>
      </w:rPr>
    </w:lvl>
  </w:abstractNum>
  <w:abstractNum w:abstractNumId="10">
    <w:nsid w:val="6A992F7E"/>
    <w:multiLevelType w:val="multilevel"/>
    <w:tmpl w:val="68D8BA80"/>
    <w:lvl w:ilvl="0">
      <w:start w:val="2"/>
      <w:numFmt w:val="decimal"/>
      <w:lvlText w:val="%1"/>
      <w:lvlJc w:val="left"/>
      <w:pPr>
        <w:ind w:left="480" w:hanging="480"/>
      </w:pPr>
      <w:rPr>
        <w:rFonts w:hint="default"/>
      </w:rPr>
    </w:lvl>
    <w:lvl w:ilvl="1">
      <w:start w:val="5"/>
      <w:numFmt w:val="decimal"/>
      <w:lvlText w:val="%1.%2"/>
      <w:lvlJc w:val="left"/>
      <w:pPr>
        <w:ind w:left="1185" w:hanging="48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1">
    <w:nsid w:val="7092673C"/>
    <w:multiLevelType w:val="hybridMultilevel"/>
    <w:tmpl w:val="E4D66598"/>
    <w:lvl w:ilvl="0" w:tplc="0C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7C6B6F3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9"/>
  </w:num>
  <w:num w:numId="2">
    <w:abstractNumId w:val="6"/>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11"/>
  </w:num>
  <w:num w:numId="7">
    <w:abstractNumId w:val="1"/>
  </w:num>
  <w:num w:numId="8">
    <w:abstractNumId w:val="10"/>
  </w:num>
  <w:num w:numId="9">
    <w:abstractNumId w:val="8"/>
  </w:num>
  <w:num w:numId="10">
    <w:abstractNumId w:val="7"/>
  </w:num>
  <w:num w:numId="11">
    <w:abstractNumId w:val="2"/>
  </w:num>
  <w:num w:numId="12">
    <w:abstractNumId w:val="12"/>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DBD"/>
    <w:rsid w:val="00051CFA"/>
    <w:rsid w:val="000525CB"/>
    <w:rsid w:val="000547FE"/>
    <w:rsid w:val="000777CA"/>
    <w:rsid w:val="00094E74"/>
    <w:rsid w:val="000A238E"/>
    <w:rsid w:val="000E5DBB"/>
    <w:rsid w:val="000F210C"/>
    <w:rsid w:val="00111BF0"/>
    <w:rsid w:val="0016225A"/>
    <w:rsid w:val="001649DF"/>
    <w:rsid w:val="00171C04"/>
    <w:rsid w:val="00192BA0"/>
    <w:rsid w:val="001B0B80"/>
    <w:rsid w:val="001D5D09"/>
    <w:rsid w:val="001E50D5"/>
    <w:rsid w:val="001F2C8F"/>
    <w:rsid w:val="00210932"/>
    <w:rsid w:val="00223B1B"/>
    <w:rsid w:val="00255C9A"/>
    <w:rsid w:val="00284FC4"/>
    <w:rsid w:val="002C2EC9"/>
    <w:rsid w:val="002D26CE"/>
    <w:rsid w:val="002D5FD1"/>
    <w:rsid w:val="002D6283"/>
    <w:rsid w:val="002D7E5E"/>
    <w:rsid w:val="0033575E"/>
    <w:rsid w:val="003426A2"/>
    <w:rsid w:val="00346AAF"/>
    <w:rsid w:val="00352099"/>
    <w:rsid w:val="003558AE"/>
    <w:rsid w:val="003601E5"/>
    <w:rsid w:val="003911CC"/>
    <w:rsid w:val="003C2EF8"/>
    <w:rsid w:val="003D26FD"/>
    <w:rsid w:val="004006E1"/>
    <w:rsid w:val="00404627"/>
    <w:rsid w:val="00424470"/>
    <w:rsid w:val="00461A7D"/>
    <w:rsid w:val="00462C66"/>
    <w:rsid w:val="004828F0"/>
    <w:rsid w:val="00494C44"/>
    <w:rsid w:val="004A2A0F"/>
    <w:rsid w:val="004A39F7"/>
    <w:rsid w:val="00527B75"/>
    <w:rsid w:val="0054333F"/>
    <w:rsid w:val="0056716A"/>
    <w:rsid w:val="0057273E"/>
    <w:rsid w:val="005D73DF"/>
    <w:rsid w:val="005E029E"/>
    <w:rsid w:val="005E5FA6"/>
    <w:rsid w:val="005F4062"/>
    <w:rsid w:val="005F49CD"/>
    <w:rsid w:val="005F5DBD"/>
    <w:rsid w:val="0065190B"/>
    <w:rsid w:val="00680646"/>
    <w:rsid w:val="00693889"/>
    <w:rsid w:val="006A3849"/>
    <w:rsid w:val="006D0842"/>
    <w:rsid w:val="006E75B8"/>
    <w:rsid w:val="006F204C"/>
    <w:rsid w:val="006F2838"/>
    <w:rsid w:val="00701517"/>
    <w:rsid w:val="007026A5"/>
    <w:rsid w:val="00704763"/>
    <w:rsid w:val="007164A9"/>
    <w:rsid w:val="0075213B"/>
    <w:rsid w:val="007533B7"/>
    <w:rsid w:val="007A0E9A"/>
    <w:rsid w:val="007B1831"/>
    <w:rsid w:val="007D1480"/>
    <w:rsid w:val="007D5162"/>
    <w:rsid w:val="008329C8"/>
    <w:rsid w:val="008353C1"/>
    <w:rsid w:val="008377FC"/>
    <w:rsid w:val="00841D77"/>
    <w:rsid w:val="00845C4C"/>
    <w:rsid w:val="00871E16"/>
    <w:rsid w:val="0088765E"/>
    <w:rsid w:val="008B78BA"/>
    <w:rsid w:val="008C6CAE"/>
    <w:rsid w:val="008F3E5A"/>
    <w:rsid w:val="0090102F"/>
    <w:rsid w:val="00902203"/>
    <w:rsid w:val="0090311E"/>
    <w:rsid w:val="0091142E"/>
    <w:rsid w:val="00914530"/>
    <w:rsid w:val="009271D5"/>
    <w:rsid w:val="00943C4E"/>
    <w:rsid w:val="00944583"/>
    <w:rsid w:val="009A13CB"/>
    <w:rsid w:val="009C0F12"/>
    <w:rsid w:val="00A42747"/>
    <w:rsid w:val="00A71209"/>
    <w:rsid w:val="00A82C6A"/>
    <w:rsid w:val="00AB2EFD"/>
    <w:rsid w:val="00AF1340"/>
    <w:rsid w:val="00B15A76"/>
    <w:rsid w:val="00B3246C"/>
    <w:rsid w:val="00B5539A"/>
    <w:rsid w:val="00BA4689"/>
    <w:rsid w:val="00BC171E"/>
    <w:rsid w:val="00BC50B8"/>
    <w:rsid w:val="00C43311"/>
    <w:rsid w:val="00C86C66"/>
    <w:rsid w:val="00C94BDD"/>
    <w:rsid w:val="00CB2F3B"/>
    <w:rsid w:val="00CD40F6"/>
    <w:rsid w:val="00CE3170"/>
    <w:rsid w:val="00CF2AB7"/>
    <w:rsid w:val="00CF5F78"/>
    <w:rsid w:val="00D021DC"/>
    <w:rsid w:val="00D032F7"/>
    <w:rsid w:val="00D047D4"/>
    <w:rsid w:val="00D10A0B"/>
    <w:rsid w:val="00D23BF6"/>
    <w:rsid w:val="00D706E9"/>
    <w:rsid w:val="00D76569"/>
    <w:rsid w:val="00DA4FE8"/>
    <w:rsid w:val="00E65E36"/>
    <w:rsid w:val="00E9423C"/>
    <w:rsid w:val="00EA6625"/>
    <w:rsid w:val="00EB7FBF"/>
    <w:rsid w:val="00EE0F92"/>
    <w:rsid w:val="00EE5186"/>
    <w:rsid w:val="00EF1235"/>
    <w:rsid w:val="00F054B1"/>
    <w:rsid w:val="00F36FE3"/>
    <w:rsid w:val="00F5394C"/>
    <w:rsid w:val="00F7721F"/>
    <w:rsid w:val="00F87B66"/>
    <w:rsid w:val="00F93B28"/>
    <w:rsid w:val="00FA5041"/>
    <w:rsid w:val="00FB2DF6"/>
    <w:rsid w:val="00FC5085"/>
    <w:rsid w:val="00FD28EC"/>
    <w:rsid w:val="00FD6945"/>
    <w:rsid w:val="00FF79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71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1C04"/>
    <w:pPr>
      <w:keepNext/>
      <w:keepLines/>
      <w:spacing w:before="240" w:after="0"/>
      <w:outlineLvl w:val="0"/>
    </w:pPr>
    <w:rPr>
      <w:rFonts w:asciiTheme="majorHAnsi" w:eastAsiaTheme="majorEastAsia" w:hAnsiTheme="majorHAnsi" w:cstheme="majorBidi"/>
      <w:color w:val="2F5496" w:themeColor="accent1" w:themeShade="BF"/>
      <w:kern w:val="0"/>
      <w:sz w:val="32"/>
      <w:szCs w:val="3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46AAF"/>
    <w:rPr>
      <w:color w:val="0000FF"/>
      <w:u w:val="single"/>
    </w:rPr>
  </w:style>
  <w:style w:type="character" w:customStyle="1" w:styleId="UnresolvedMention">
    <w:name w:val="Unresolved Mention"/>
    <w:basedOn w:val="DefaultParagraphFont"/>
    <w:uiPriority w:val="99"/>
    <w:semiHidden/>
    <w:unhideWhenUsed/>
    <w:rsid w:val="00346AAF"/>
    <w:rPr>
      <w:color w:val="605E5C"/>
      <w:shd w:val="clear" w:color="auto" w:fill="E1DFDD"/>
    </w:rPr>
  </w:style>
  <w:style w:type="paragraph" w:styleId="FootnoteText">
    <w:name w:val="footnote text"/>
    <w:basedOn w:val="Normal"/>
    <w:link w:val="FootnoteTextChar"/>
    <w:uiPriority w:val="99"/>
    <w:semiHidden/>
    <w:unhideWhenUsed/>
    <w:rsid w:val="00CF2A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2AB7"/>
    <w:rPr>
      <w:sz w:val="20"/>
      <w:szCs w:val="20"/>
    </w:rPr>
  </w:style>
  <w:style w:type="character" w:styleId="FootnoteReference">
    <w:name w:val="footnote reference"/>
    <w:uiPriority w:val="99"/>
    <w:semiHidden/>
    <w:unhideWhenUsed/>
    <w:rsid w:val="00CF2AB7"/>
    <w:rPr>
      <w:vertAlign w:val="superscript"/>
    </w:rPr>
  </w:style>
  <w:style w:type="paragraph" w:styleId="Header">
    <w:name w:val="header"/>
    <w:basedOn w:val="Normal"/>
    <w:link w:val="HeaderChar"/>
    <w:uiPriority w:val="99"/>
    <w:unhideWhenUsed/>
    <w:rsid w:val="00527B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7B75"/>
  </w:style>
  <w:style w:type="paragraph" w:styleId="Footer">
    <w:name w:val="footer"/>
    <w:basedOn w:val="Normal"/>
    <w:link w:val="FooterChar"/>
    <w:uiPriority w:val="99"/>
    <w:unhideWhenUsed/>
    <w:rsid w:val="00527B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7B75"/>
  </w:style>
  <w:style w:type="paragraph" w:styleId="ListParagraph">
    <w:name w:val="List Paragraph"/>
    <w:basedOn w:val="Normal"/>
    <w:uiPriority w:val="34"/>
    <w:qFormat/>
    <w:rsid w:val="00B5539A"/>
    <w:pPr>
      <w:ind w:left="720"/>
      <w:contextualSpacing/>
    </w:pPr>
  </w:style>
  <w:style w:type="character" w:customStyle="1" w:styleId="Heading1Char">
    <w:name w:val="Heading 1 Char"/>
    <w:basedOn w:val="DefaultParagraphFont"/>
    <w:link w:val="Heading1"/>
    <w:uiPriority w:val="9"/>
    <w:rsid w:val="00171C04"/>
    <w:rPr>
      <w:rFonts w:asciiTheme="majorHAnsi" w:eastAsiaTheme="majorEastAsia" w:hAnsiTheme="majorHAnsi" w:cstheme="majorBidi"/>
      <w:color w:val="2F5496" w:themeColor="accent1" w:themeShade="BF"/>
      <w:kern w:val="0"/>
      <w:sz w:val="32"/>
      <w:szCs w:val="32"/>
      <w14:ligatures w14:val="none"/>
    </w:rPr>
  </w:style>
  <w:style w:type="paragraph" w:styleId="NormalWeb">
    <w:name w:val="Normal (Web)"/>
    <w:basedOn w:val="Normal"/>
    <w:uiPriority w:val="99"/>
    <w:unhideWhenUsed/>
    <w:rsid w:val="00D032F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FollowedHyperlink">
    <w:name w:val="FollowedHyperlink"/>
    <w:basedOn w:val="DefaultParagraphFont"/>
    <w:uiPriority w:val="99"/>
    <w:semiHidden/>
    <w:unhideWhenUsed/>
    <w:rsid w:val="00CF5F78"/>
    <w:rPr>
      <w:color w:val="954F72" w:themeColor="followedHyperlink"/>
      <w:u w:val="single"/>
    </w:rPr>
  </w:style>
  <w:style w:type="paragraph" w:styleId="EndnoteText">
    <w:name w:val="endnote text"/>
    <w:basedOn w:val="Normal"/>
    <w:link w:val="EndnoteTextChar"/>
    <w:uiPriority w:val="99"/>
    <w:semiHidden/>
    <w:unhideWhenUsed/>
    <w:rsid w:val="0075213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5213B"/>
    <w:rPr>
      <w:sz w:val="20"/>
      <w:szCs w:val="20"/>
    </w:rPr>
  </w:style>
  <w:style w:type="character" w:styleId="EndnoteReference">
    <w:name w:val="endnote reference"/>
    <w:basedOn w:val="DefaultParagraphFont"/>
    <w:uiPriority w:val="99"/>
    <w:semiHidden/>
    <w:unhideWhenUsed/>
    <w:rsid w:val="0075213B"/>
    <w:rPr>
      <w:vertAlign w:val="superscript"/>
    </w:rPr>
  </w:style>
  <w:style w:type="character" w:styleId="PageNumber">
    <w:name w:val="page number"/>
    <w:basedOn w:val="DefaultParagraphFont"/>
    <w:uiPriority w:val="99"/>
    <w:semiHidden/>
    <w:unhideWhenUsed/>
    <w:rsid w:val="005F40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1C04"/>
    <w:pPr>
      <w:keepNext/>
      <w:keepLines/>
      <w:spacing w:before="240" w:after="0"/>
      <w:outlineLvl w:val="0"/>
    </w:pPr>
    <w:rPr>
      <w:rFonts w:asciiTheme="majorHAnsi" w:eastAsiaTheme="majorEastAsia" w:hAnsiTheme="majorHAnsi" w:cstheme="majorBidi"/>
      <w:color w:val="2F5496" w:themeColor="accent1" w:themeShade="BF"/>
      <w:kern w:val="0"/>
      <w:sz w:val="32"/>
      <w:szCs w:val="3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46AAF"/>
    <w:rPr>
      <w:color w:val="0000FF"/>
      <w:u w:val="single"/>
    </w:rPr>
  </w:style>
  <w:style w:type="character" w:customStyle="1" w:styleId="UnresolvedMention">
    <w:name w:val="Unresolved Mention"/>
    <w:basedOn w:val="DefaultParagraphFont"/>
    <w:uiPriority w:val="99"/>
    <w:semiHidden/>
    <w:unhideWhenUsed/>
    <w:rsid w:val="00346AAF"/>
    <w:rPr>
      <w:color w:val="605E5C"/>
      <w:shd w:val="clear" w:color="auto" w:fill="E1DFDD"/>
    </w:rPr>
  </w:style>
  <w:style w:type="paragraph" w:styleId="FootnoteText">
    <w:name w:val="footnote text"/>
    <w:basedOn w:val="Normal"/>
    <w:link w:val="FootnoteTextChar"/>
    <w:uiPriority w:val="99"/>
    <w:semiHidden/>
    <w:unhideWhenUsed/>
    <w:rsid w:val="00CF2A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2AB7"/>
    <w:rPr>
      <w:sz w:val="20"/>
      <w:szCs w:val="20"/>
    </w:rPr>
  </w:style>
  <w:style w:type="character" w:styleId="FootnoteReference">
    <w:name w:val="footnote reference"/>
    <w:uiPriority w:val="99"/>
    <w:semiHidden/>
    <w:unhideWhenUsed/>
    <w:rsid w:val="00CF2AB7"/>
    <w:rPr>
      <w:vertAlign w:val="superscript"/>
    </w:rPr>
  </w:style>
  <w:style w:type="paragraph" w:styleId="Header">
    <w:name w:val="header"/>
    <w:basedOn w:val="Normal"/>
    <w:link w:val="HeaderChar"/>
    <w:uiPriority w:val="99"/>
    <w:unhideWhenUsed/>
    <w:rsid w:val="00527B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7B75"/>
  </w:style>
  <w:style w:type="paragraph" w:styleId="Footer">
    <w:name w:val="footer"/>
    <w:basedOn w:val="Normal"/>
    <w:link w:val="FooterChar"/>
    <w:uiPriority w:val="99"/>
    <w:unhideWhenUsed/>
    <w:rsid w:val="00527B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7B75"/>
  </w:style>
  <w:style w:type="paragraph" w:styleId="ListParagraph">
    <w:name w:val="List Paragraph"/>
    <w:basedOn w:val="Normal"/>
    <w:uiPriority w:val="34"/>
    <w:qFormat/>
    <w:rsid w:val="00B5539A"/>
    <w:pPr>
      <w:ind w:left="720"/>
      <w:contextualSpacing/>
    </w:pPr>
  </w:style>
  <w:style w:type="character" w:customStyle="1" w:styleId="Heading1Char">
    <w:name w:val="Heading 1 Char"/>
    <w:basedOn w:val="DefaultParagraphFont"/>
    <w:link w:val="Heading1"/>
    <w:uiPriority w:val="9"/>
    <w:rsid w:val="00171C04"/>
    <w:rPr>
      <w:rFonts w:asciiTheme="majorHAnsi" w:eastAsiaTheme="majorEastAsia" w:hAnsiTheme="majorHAnsi" w:cstheme="majorBidi"/>
      <w:color w:val="2F5496" w:themeColor="accent1" w:themeShade="BF"/>
      <w:kern w:val="0"/>
      <w:sz w:val="32"/>
      <w:szCs w:val="32"/>
      <w14:ligatures w14:val="none"/>
    </w:rPr>
  </w:style>
  <w:style w:type="paragraph" w:styleId="NormalWeb">
    <w:name w:val="Normal (Web)"/>
    <w:basedOn w:val="Normal"/>
    <w:uiPriority w:val="99"/>
    <w:unhideWhenUsed/>
    <w:rsid w:val="00D032F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FollowedHyperlink">
    <w:name w:val="FollowedHyperlink"/>
    <w:basedOn w:val="DefaultParagraphFont"/>
    <w:uiPriority w:val="99"/>
    <w:semiHidden/>
    <w:unhideWhenUsed/>
    <w:rsid w:val="00CF5F78"/>
    <w:rPr>
      <w:color w:val="954F72" w:themeColor="followedHyperlink"/>
      <w:u w:val="single"/>
    </w:rPr>
  </w:style>
  <w:style w:type="paragraph" w:styleId="EndnoteText">
    <w:name w:val="endnote text"/>
    <w:basedOn w:val="Normal"/>
    <w:link w:val="EndnoteTextChar"/>
    <w:uiPriority w:val="99"/>
    <w:semiHidden/>
    <w:unhideWhenUsed/>
    <w:rsid w:val="0075213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5213B"/>
    <w:rPr>
      <w:sz w:val="20"/>
      <w:szCs w:val="20"/>
    </w:rPr>
  </w:style>
  <w:style w:type="character" w:styleId="EndnoteReference">
    <w:name w:val="endnote reference"/>
    <w:basedOn w:val="DefaultParagraphFont"/>
    <w:uiPriority w:val="99"/>
    <w:semiHidden/>
    <w:unhideWhenUsed/>
    <w:rsid w:val="0075213B"/>
    <w:rPr>
      <w:vertAlign w:val="superscript"/>
    </w:rPr>
  </w:style>
  <w:style w:type="character" w:styleId="PageNumber">
    <w:name w:val="page number"/>
    <w:basedOn w:val="DefaultParagraphFont"/>
    <w:uiPriority w:val="99"/>
    <w:semiHidden/>
    <w:unhideWhenUsed/>
    <w:rsid w:val="005F40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042671">
      <w:bodyDiv w:val="1"/>
      <w:marLeft w:val="0"/>
      <w:marRight w:val="0"/>
      <w:marTop w:val="0"/>
      <w:marBottom w:val="0"/>
      <w:divBdr>
        <w:top w:val="none" w:sz="0" w:space="0" w:color="auto"/>
        <w:left w:val="none" w:sz="0" w:space="0" w:color="auto"/>
        <w:bottom w:val="none" w:sz="0" w:space="0" w:color="auto"/>
        <w:right w:val="none" w:sz="0" w:space="0" w:color="auto"/>
      </w:divBdr>
    </w:div>
    <w:div w:id="756560826">
      <w:bodyDiv w:val="1"/>
      <w:marLeft w:val="0"/>
      <w:marRight w:val="0"/>
      <w:marTop w:val="0"/>
      <w:marBottom w:val="0"/>
      <w:divBdr>
        <w:top w:val="none" w:sz="0" w:space="0" w:color="auto"/>
        <w:left w:val="none" w:sz="0" w:space="0" w:color="auto"/>
        <w:bottom w:val="none" w:sz="0" w:space="0" w:color="auto"/>
        <w:right w:val="none" w:sz="0" w:space="0" w:color="auto"/>
      </w:divBdr>
    </w:div>
    <w:div w:id="1211459347">
      <w:bodyDiv w:val="1"/>
      <w:marLeft w:val="0"/>
      <w:marRight w:val="0"/>
      <w:marTop w:val="0"/>
      <w:marBottom w:val="0"/>
      <w:divBdr>
        <w:top w:val="none" w:sz="0" w:space="0" w:color="auto"/>
        <w:left w:val="none" w:sz="0" w:space="0" w:color="auto"/>
        <w:bottom w:val="none" w:sz="0" w:space="0" w:color="auto"/>
        <w:right w:val="none" w:sz="0" w:space="0" w:color="auto"/>
      </w:divBdr>
    </w:div>
    <w:div w:id="171017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cademia.edu/45290037/Uma_Introdu%C3%A7%C3%A3o_%C3%A0_Teoria_Social_Cognitiva_de_Albert_Bandura" TargetMode="External"/><Relationship Id="rId18" Type="http://schemas.openxmlformats.org/officeDocument/2006/relationships/hyperlink" Target="http://dx.doi.org/10.4236/jss.2014.21007"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hyperlink" Target="http://196.3.97.23/revista/index.php/edu/article/view/106" TargetMode="External"/><Relationship Id="rId2" Type="http://schemas.openxmlformats.org/officeDocument/2006/relationships/numbering" Target="numbering.xml"/><Relationship Id="rId16" Type="http://schemas.openxmlformats.org/officeDocument/2006/relationships/hyperlink" Target="https://ine.gov.mz/web/guest/d/quadro-3-populacao-por-idade-segundo-provincia-rea-de-residencia-e-sexo-mocambique-2017"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iprix2006@gmail.com" TargetMode="External"/><Relationship Id="rId5" Type="http://schemas.openxmlformats.org/officeDocument/2006/relationships/settings" Target="settings.xml"/><Relationship Id="rId15" Type="http://schemas.openxmlformats.org/officeDocument/2006/relationships/hyperlink" Target="http://www.scielo.br/scielo.php?pid=S0102-46982015000200061&amp;script=sci_abstract&amp;tlng=pt" TargetMode="External"/><Relationship Id="rId10" Type="http://schemas.openxmlformats.org/officeDocument/2006/relationships/hyperlink" Target="mailto:donacianob@gmail.com"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isaliagl@gmail.com" TargetMode="External"/><Relationship Id="rId14" Type="http://schemas.openxmlformats.org/officeDocument/2006/relationships/hyperlink" Target="https://repositorio.ufmg.br/bitstream/1843/VCSA-7Z8JRX/1/2000000180.pdf" TargetMode="External"/><Relationship Id="rId22"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76444-F203-453E-9031-8AA4D2F7B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7438</Words>
  <Characters>42403</Characters>
  <Application>Microsoft Office Word</Application>
  <DocSecurity>0</DocSecurity>
  <Lines>353</Lines>
  <Paragraphs>99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49742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2026-06-23T14:16:00Z</dcterms:created>
  <dcterms:modified xsi:type="dcterms:W3CDTF">2026-06-23T14:16:00Z</dcterms:modified>
</cp:coreProperties>
</file>