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C21F44" w14:textId="40754125" w:rsidR="000E2F84" w:rsidRPr="007E2F26" w:rsidRDefault="00BD01CB" w:rsidP="00CB46A4">
      <w:pPr>
        <w:pStyle w:val="Heading1"/>
        <w:spacing w:line="360" w:lineRule="auto"/>
        <w:rPr>
          <w:rFonts w:ascii="Times New Roman" w:hAnsi="Times New Roman" w:cs="Times New Roman"/>
          <w:b/>
          <w:bCs/>
          <w:color w:val="000000"/>
          <w:sz w:val="32"/>
          <w:szCs w:val="32"/>
          <w:lang w:val="pt-PT"/>
        </w:rPr>
      </w:pPr>
      <w:bookmarkStart w:id="0" w:name="X8ea828fbe8ae3b231464dfae006a498d6cc391d"/>
      <w:bookmarkStart w:id="1" w:name="_GoBack"/>
      <w:bookmarkEnd w:id="1"/>
      <w:r w:rsidRPr="007E2F26">
        <w:rPr>
          <w:rFonts w:ascii="Times New Roman" w:hAnsi="Times New Roman" w:cs="Times New Roman"/>
          <w:b/>
          <w:bCs/>
          <w:color w:val="000000"/>
          <w:sz w:val="32"/>
          <w:szCs w:val="32"/>
          <w:lang w:val="pt-PT"/>
        </w:rPr>
        <w:t>Ubuntu enquanto Lógica do Desenvolvimento: Ecologias Relacionais de Cuidado</w:t>
      </w:r>
      <w:r w:rsidR="001A5E93">
        <w:rPr>
          <w:rFonts w:ascii="Times New Roman" w:hAnsi="Times New Roman" w:cs="Times New Roman"/>
          <w:b/>
          <w:bCs/>
          <w:color w:val="000000"/>
          <w:sz w:val="32"/>
          <w:szCs w:val="32"/>
          <w:lang w:val="pt-PT"/>
        </w:rPr>
        <w:t>s</w:t>
      </w:r>
      <w:r w:rsidRPr="007E2F26">
        <w:rPr>
          <w:rFonts w:ascii="Times New Roman" w:hAnsi="Times New Roman" w:cs="Times New Roman"/>
          <w:b/>
          <w:bCs/>
          <w:color w:val="000000"/>
          <w:sz w:val="32"/>
          <w:szCs w:val="32"/>
          <w:lang w:val="pt-PT"/>
        </w:rPr>
        <w:t xml:space="preserve"> no Desenvolvimento da Primeira Infância em Moçambique</w:t>
      </w:r>
      <w:r w:rsidR="001A5E93">
        <w:rPr>
          <w:rFonts w:ascii="Times New Roman" w:hAnsi="Times New Roman" w:cs="Times New Roman"/>
          <w:b/>
          <w:bCs/>
          <w:color w:val="000000"/>
          <w:sz w:val="32"/>
          <w:szCs w:val="32"/>
          <w:lang w:val="pt-PT"/>
        </w:rPr>
        <w:t>.</w:t>
      </w:r>
    </w:p>
    <w:p w14:paraId="04366C31" w14:textId="260A2F82" w:rsidR="000E2F84" w:rsidRPr="007E2F26" w:rsidRDefault="00BD01CB" w:rsidP="00CB46A4">
      <w:pPr>
        <w:pStyle w:val="FirstParagraph"/>
        <w:spacing w:line="360" w:lineRule="auto"/>
        <w:rPr>
          <w:rFonts w:ascii="Times New Roman" w:hAnsi="Times New Roman" w:cs="Times New Roman"/>
          <w:lang w:val="pt-PT"/>
        </w:rPr>
      </w:pPr>
      <w:r w:rsidRPr="007E2F26">
        <w:rPr>
          <w:rFonts w:ascii="Times New Roman" w:hAnsi="Times New Roman" w:cs="Times New Roman"/>
          <w:lang w:val="pt-PT"/>
        </w:rPr>
        <w:t>Flavio Liberato</w:t>
      </w:r>
      <w:r w:rsidR="00DE0CE2" w:rsidRPr="007E2F26">
        <w:rPr>
          <w:rFonts w:ascii="Times New Roman" w:hAnsi="Times New Roman" w:cs="Times New Roman"/>
          <w:lang w:val="pt-PT"/>
        </w:rPr>
        <w:t xml:space="preserve"> Fernandes</w:t>
      </w:r>
      <w:r w:rsidRPr="007E2F26">
        <w:rPr>
          <w:rFonts w:ascii="Times New Roman" w:hAnsi="Times New Roman" w:cs="Times New Roman"/>
          <w:lang w:val="pt-PT"/>
        </w:rPr>
        <w:t xml:space="preserve">¹, Thanduxolo P. Mngomezulu², </w:t>
      </w:r>
      <w:r w:rsidR="00DE0CE2" w:rsidRPr="007E2F26">
        <w:rPr>
          <w:rFonts w:ascii="Times New Roman" w:hAnsi="Times New Roman" w:cs="Times New Roman"/>
          <w:lang w:val="pt-PT"/>
        </w:rPr>
        <w:t>Celso António Mabunda</w:t>
      </w:r>
      <w:r w:rsidRPr="007E2F26">
        <w:rPr>
          <w:rFonts w:ascii="Times New Roman" w:hAnsi="Times New Roman" w:cs="Times New Roman"/>
          <w:lang w:val="pt-PT"/>
        </w:rPr>
        <w:t xml:space="preserve">³, Noncedo Mbuyisa⁴ &amp; </w:t>
      </w:r>
      <w:r w:rsidR="00DE0CE2" w:rsidRPr="007E2F26">
        <w:rPr>
          <w:rFonts w:ascii="Times New Roman" w:hAnsi="Times New Roman" w:cs="Times New Roman"/>
          <w:lang w:val="pt-PT"/>
        </w:rPr>
        <w:t>Alice Arnaldo Arone Moreira</w:t>
      </w:r>
      <w:r w:rsidRPr="007E2F26">
        <w:rPr>
          <w:rFonts w:ascii="Times New Roman" w:hAnsi="Times New Roman" w:cs="Times New Roman"/>
          <w:lang w:val="pt-PT"/>
        </w:rPr>
        <w:t>⁵</w:t>
      </w:r>
    </w:p>
    <w:p w14:paraId="36E14A46" w14:textId="2340CC5E" w:rsidR="000E2F84" w:rsidRPr="007E2F26" w:rsidRDefault="00BD01CB" w:rsidP="00CB46A4">
      <w:pPr>
        <w:pStyle w:val="BodyText"/>
        <w:spacing w:line="360" w:lineRule="auto"/>
        <w:rPr>
          <w:rFonts w:ascii="Times New Roman" w:hAnsi="Times New Roman" w:cs="Times New Roman"/>
          <w:lang w:val="pt-PT"/>
        </w:rPr>
      </w:pPr>
      <w:r w:rsidRPr="007E2F26">
        <w:rPr>
          <w:rFonts w:ascii="Times New Roman" w:hAnsi="Times New Roman" w:cs="Times New Roman"/>
          <w:lang w:val="pt-PT"/>
        </w:rPr>
        <w:t xml:space="preserve">¹ </w:t>
      </w:r>
      <w:r w:rsidR="00312D73">
        <w:rPr>
          <w:rFonts w:ascii="Times New Roman" w:hAnsi="Times New Roman" w:cs="Times New Roman"/>
          <w:lang w:val="pt-PT"/>
        </w:rPr>
        <w:t xml:space="preserve">Psicólogo Clinico e Mestre em </w:t>
      </w:r>
      <w:r w:rsidR="00367F54">
        <w:rPr>
          <w:rFonts w:ascii="Times New Roman" w:hAnsi="Times New Roman" w:cs="Times New Roman"/>
          <w:lang w:val="pt-PT"/>
        </w:rPr>
        <w:t>Sociologia Rural</w:t>
      </w:r>
      <w:r w:rsidR="00312D73">
        <w:rPr>
          <w:rFonts w:ascii="Times New Roman" w:hAnsi="Times New Roman" w:cs="Times New Roman"/>
          <w:lang w:val="pt-PT"/>
        </w:rPr>
        <w:t xml:space="preserve"> - </w:t>
      </w:r>
      <w:r w:rsidRPr="007E2F26">
        <w:rPr>
          <w:rFonts w:ascii="Times New Roman" w:hAnsi="Times New Roman" w:cs="Times New Roman"/>
          <w:lang w:val="pt-PT"/>
        </w:rPr>
        <w:t>Wona Sanana, Maputo, Moçambique</w:t>
      </w:r>
      <w:r w:rsidRPr="007E2F26">
        <w:rPr>
          <w:rFonts w:ascii="Times New Roman" w:hAnsi="Times New Roman" w:cs="Times New Roman"/>
          <w:lang w:val="pt-PT"/>
        </w:rPr>
        <w:br/>
        <w:t>² Universidade de Zululand, KwaZulu-Natal, África do Sul</w:t>
      </w:r>
      <w:r w:rsidRPr="007E2F26">
        <w:rPr>
          <w:rFonts w:ascii="Times New Roman" w:hAnsi="Times New Roman" w:cs="Times New Roman"/>
          <w:lang w:val="pt-PT"/>
        </w:rPr>
        <w:br/>
        <w:t xml:space="preserve">³ </w:t>
      </w:r>
      <w:r w:rsidR="00312D73">
        <w:rPr>
          <w:rFonts w:ascii="Times New Roman" w:hAnsi="Times New Roman" w:cs="Times New Roman"/>
          <w:lang w:val="pt-PT"/>
        </w:rPr>
        <w:t xml:space="preserve"> Especialista em M</w:t>
      </w:r>
      <w:r w:rsidR="00367F54" w:rsidRPr="00367F54">
        <w:rPr>
          <w:rFonts w:ascii="Times New Roman" w:hAnsi="Times New Roman" w:cs="Times New Roman"/>
          <w:lang w:val="pt-PT"/>
        </w:rPr>
        <w:t>&amp;</w:t>
      </w:r>
      <w:r w:rsidR="00367F54">
        <w:rPr>
          <w:rFonts w:ascii="Times New Roman" w:hAnsi="Times New Roman" w:cs="Times New Roman"/>
          <w:lang w:val="pt-PT"/>
        </w:rPr>
        <w:t>A</w:t>
      </w:r>
      <w:r w:rsidR="00312D73">
        <w:rPr>
          <w:rFonts w:ascii="Times New Roman" w:hAnsi="Times New Roman" w:cs="Times New Roman"/>
          <w:lang w:val="pt-PT"/>
        </w:rPr>
        <w:t xml:space="preserve"> e Mestre em</w:t>
      </w:r>
      <w:r w:rsidR="00312D73" w:rsidRPr="00312D73">
        <w:t xml:space="preserve"> </w:t>
      </w:r>
      <w:r w:rsidR="00312D73" w:rsidRPr="00312D73">
        <w:rPr>
          <w:rFonts w:ascii="Times New Roman" w:hAnsi="Times New Roman" w:cs="Times New Roman"/>
          <w:lang w:val="pt-PT"/>
        </w:rPr>
        <w:t xml:space="preserve">Gestão de Desenvolvimento </w:t>
      </w:r>
      <w:r w:rsidR="00312D73">
        <w:rPr>
          <w:rFonts w:ascii="Times New Roman" w:hAnsi="Times New Roman" w:cs="Times New Roman"/>
          <w:lang w:val="pt-PT"/>
        </w:rPr>
        <w:t xml:space="preserve">- </w:t>
      </w:r>
      <w:r w:rsidRPr="007E2F26">
        <w:rPr>
          <w:rFonts w:ascii="Times New Roman" w:hAnsi="Times New Roman" w:cs="Times New Roman"/>
          <w:lang w:val="pt-PT"/>
        </w:rPr>
        <w:t>Wona Sanana, Maputo, Moçambique</w:t>
      </w:r>
      <w:r w:rsidRPr="007E2F26">
        <w:rPr>
          <w:rFonts w:ascii="Times New Roman" w:hAnsi="Times New Roman" w:cs="Times New Roman"/>
          <w:lang w:val="pt-PT"/>
        </w:rPr>
        <w:br/>
        <w:t>⁴ Especialista em Prevenção e Controlo de Infecções, Salzburgo, Áustria</w:t>
      </w:r>
      <w:r w:rsidRPr="007E2F26">
        <w:rPr>
          <w:rFonts w:ascii="Times New Roman" w:hAnsi="Times New Roman" w:cs="Times New Roman"/>
          <w:lang w:val="pt-PT"/>
        </w:rPr>
        <w:br/>
        <w:t xml:space="preserve">⁵ </w:t>
      </w:r>
      <w:r w:rsidR="00312D73">
        <w:rPr>
          <w:rFonts w:ascii="Times New Roman" w:hAnsi="Times New Roman" w:cs="Times New Roman"/>
          <w:lang w:val="pt-PT"/>
        </w:rPr>
        <w:t>Assistente Social e Mest</w:t>
      </w:r>
      <w:r w:rsidR="00367F54">
        <w:rPr>
          <w:rFonts w:ascii="Times New Roman" w:hAnsi="Times New Roman" w:cs="Times New Roman"/>
          <w:lang w:val="pt-PT"/>
        </w:rPr>
        <w:t xml:space="preserve">re em Sociologia do Desenvolvimento - </w:t>
      </w:r>
      <w:r w:rsidRPr="007E2F26">
        <w:rPr>
          <w:rFonts w:ascii="Times New Roman" w:hAnsi="Times New Roman" w:cs="Times New Roman"/>
          <w:lang w:val="pt-PT"/>
        </w:rPr>
        <w:t>Wona Sanana, Maputo, Moçambique</w:t>
      </w:r>
    </w:p>
    <w:p w14:paraId="7BEB3B4A" w14:textId="77777777" w:rsidR="000E2F84" w:rsidRPr="007E2F26" w:rsidRDefault="00BD01CB" w:rsidP="00CB46A4">
      <w:pPr>
        <w:pStyle w:val="Heading2"/>
        <w:spacing w:line="360" w:lineRule="auto"/>
        <w:rPr>
          <w:rFonts w:ascii="Times New Roman" w:hAnsi="Times New Roman" w:cs="Times New Roman"/>
          <w:b/>
          <w:bCs/>
          <w:color w:val="000000"/>
          <w:sz w:val="28"/>
          <w:szCs w:val="28"/>
          <w:lang w:val="pt-PT"/>
        </w:rPr>
      </w:pPr>
      <w:bookmarkStart w:id="2" w:name="autor-correspondente"/>
      <w:r w:rsidRPr="007E2F26">
        <w:rPr>
          <w:rFonts w:ascii="Times New Roman" w:hAnsi="Times New Roman" w:cs="Times New Roman"/>
          <w:b/>
          <w:bCs/>
          <w:color w:val="000000"/>
          <w:sz w:val="28"/>
          <w:szCs w:val="28"/>
          <w:lang w:val="pt-PT"/>
        </w:rPr>
        <w:t>Autor Correspondente</w:t>
      </w:r>
    </w:p>
    <w:p w14:paraId="0A4E7A40" w14:textId="633AFF13" w:rsidR="000E2F84" w:rsidRPr="007E2F26" w:rsidRDefault="00BD01CB" w:rsidP="00CB46A4">
      <w:pPr>
        <w:pStyle w:val="FirstParagraph"/>
        <w:spacing w:line="360" w:lineRule="auto"/>
        <w:rPr>
          <w:rFonts w:ascii="Times New Roman" w:hAnsi="Times New Roman" w:cs="Times New Roman"/>
          <w:lang w:val="pt-PT"/>
        </w:rPr>
      </w:pPr>
      <w:r w:rsidRPr="007E2F26">
        <w:rPr>
          <w:rFonts w:ascii="Times New Roman" w:hAnsi="Times New Roman" w:cs="Times New Roman"/>
          <w:lang w:val="pt-PT"/>
        </w:rPr>
        <w:t>Dr. T.P. Mngomezulu</w:t>
      </w:r>
      <w:r w:rsidRPr="007E2F26">
        <w:rPr>
          <w:rFonts w:ascii="Times New Roman" w:hAnsi="Times New Roman" w:cs="Times New Roman"/>
          <w:lang w:val="pt-PT"/>
        </w:rPr>
        <w:br/>
        <w:t>Universidade de Zululand</w:t>
      </w:r>
      <w:r w:rsidRPr="007E2F26">
        <w:rPr>
          <w:rFonts w:ascii="Times New Roman" w:hAnsi="Times New Roman" w:cs="Times New Roman"/>
          <w:lang w:val="pt-PT"/>
        </w:rPr>
        <w:br/>
        <w:t xml:space="preserve">Email: </w:t>
      </w:r>
      <w:hyperlink r:id="rId8" w:history="1">
        <w:r w:rsidR="0038108B" w:rsidRPr="007E2F26">
          <w:rPr>
            <w:rFonts w:ascii="Times New Roman" w:eastAsia="Times New Roman" w:hAnsi="Times New Roman" w:cs="Times New Roman"/>
            <w:color w:val="0563C1"/>
            <w:u w:val="single"/>
            <w:lang w:val="pt-PT"/>
          </w:rPr>
          <w:t>MngomezuluP@unizulu.ac.za</w:t>
        </w:r>
      </w:hyperlink>
      <w:r w:rsidR="0038108B" w:rsidRPr="007E2F26">
        <w:rPr>
          <w:rFonts w:ascii="Times New Roman" w:hAnsi="Times New Roman" w:cs="Times New Roman"/>
          <w:lang w:val="pt-PT"/>
        </w:rPr>
        <w:t xml:space="preserve"> </w:t>
      </w:r>
    </w:p>
    <w:p w14:paraId="7FB4A02B" w14:textId="77777777" w:rsidR="000E2F84" w:rsidRPr="007E2F26" w:rsidRDefault="00BD01CB" w:rsidP="00B10342">
      <w:pPr>
        <w:pStyle w:val="Heading2"/>
        <w:spacing w:line="360" w:lineRule="auto"/>
        <w:jc w:val="both"/>
        <w:rPr>
          <w:rFonts w:ascii="Times New Roman" w:hAnsi="Times New Roman" w:cs="Times New Roman"/>
          <w:b/>
          <w:bCs/>
          <w:color w:val="000000"/>
          <w:sz w:val="28"/>
          <w:szCs w:val="28"/>
          <w:lang w:val="pt-PT"/>
        </w:rPr>
      </w:pPr>
      <w:bookmarkStart w:id="3" w:name="declaração-de-financiamento"/>
      <w:bookmarkEnd w:id="2"/>
      <w:r w:rsidRPr="007E2F26">
        <w:rPr>
          <w:rFonts w:ascii="Times New Roman" w:hAnsi="Times New Roman" w:cs="Times New Roman"/>
          <w:b/>
          <w:bCs/>
          <w:color w:val="000000"/>
          <w:sz w:val="28"/>
          <w:szCs w:val="28"/>
          <w:lang w:val="pt-PT"/>
        </w:rPr>
        <w:t>Declaração de Financiamento</w:t>
      </w:r>
    </w:p>
    <w:p w14:paraId="4F71974B" w14:textId="77777777" w:rsidR="000E2F84" w:rsidRPr="007E2F26" w:rsidRDefault="00BD01CB" w:rsidP="00B10342">
      <w:pPr>
        <w:pStyle w:val="FirstParagraph"/>
        <w:spacing w:line="360" w:lineRule="auto"/>
        <w:jc w:val="both"/>
        <w:rPr>
          <w:rFonts w:ascii="Times New Roman" w:hAnsi="Times New Roman" w:cs="Times New Roman"/>
          <w:lang w:val="pt-PT"/>
        </w:rPr>
      </w:pPr>
      <w:r w:rsidRPr="007E2F26">
        <w:rPr>
          <w:rFonts w:ascii="Times New Roman" w:hAnsi="Times New Roman" w:cs="Times New Roman"/>
          <w:lang w:val="pt-PT"/>
        </w:rPr>
        <w:t>A presente investigação não recebeu financiamento externo.</w:t>
      </w:r>
    </w:p>
    <w:p w14:paraId="53C5F3E2" w14:textId="77777777" w:rsidR="000E2F84" w:rsidRPr="007E2F26" w:rsidRDefault="00BD01CB" w:rsidP="00B10342">
      <w:pPr>
        <w:pStyle w:val="Heading2"/>
        <w:spacing w:line="360" w:lineRule="auto"/>
        <w:jc w:val="both"/>
        <w:rPr>
          <w:rFonts w:ascii="Times New Roman" w:hAnsi="Times New Roman" w:cs="Times New Roman"/>
          <w:b/>
          <w:bCs/>
          <w:color w:val="000000"/>
          <w:sz w:val="28"/>
          <w:szCs w:val="28"/>
          <w:lang w:val="pt-PT"/>
        </w:rPr>
      </w:pPr>
      <w:bookmarkStart w:id="4" w:name="declaração-de-conflito-de-interesses"/>
      <w:bookmarkEnd w:id="3"/>
      <w:r w:rsidRPr="007E2F26">
        <w:rPr>
          <w:rFonts w:ascii="Times New Roman" w:hAnsi="Times New Roman" w:cs="Times New Roman"/>
          <w:b/>
          <w:bCs/>
          <w:color w:val="000000"/>
          <w:sz w:val="28"/>
          <w:szCs w:val="28"/>
          <w:lang w:val="pt-PT"/>
        </w:rPr>
        <w:t>Declaração de Conflito de Interesses</w:t>
      </w:r>
    </w:p>
    <w:p w14:paraId="6C2A048F" w14:textId="77777777" w:rsidR="000E2F84" w:rsidRPr="007E2F26" w:rsidRDefault="00BD01CB" w:rsidP="00B10342">
      <w:pPr>
        <w:pStyle w:val="FirstParagraph"/>
        <w:spacing w:line="360" w:lineRule="auto"/>
        <w:jc w:val="both"/>
        <w:rPr>
          <w:rFonts w:ascii="Times New Roman" w:hAnsi="Times New Roman" w:cs="Times New Roman"/>
          <w:lang w:val="pt-PT"/>
        </w:rPr>
      </w:pPr>
      <w:r w:rsidRPr="007E2F26">
        <w:rPr>
          <w:rFonts w:ascii="Times New Roman" w:hAnsi="Times New Roman" w:cs="Times New Roman"/>
          <w:lang w:val="pt-PT"/>
        </w:rPr>
        <w:t>Os autores declaram inexistência de conflitos de interesse.</w:t>
      </w:r>
    </w:p>
    <w:p w14:paraId="22FDCB86" w14:textId="77777777" w:rsidR="000E2F84" w:rsidRPr="007E2F26" w:rsidRDefault="00BD01CB" w:rsidP="00B10342">
      <w:pPr>
        <w:pStyle w:val="Heading2"/>
        <w:spacing w:line="360" w:lineRule="auto"/>
        <w:jc w:val="both"/>
        <w:rPr>
          <w:rFonts w:ascii="Times New Roman" w:hAnsi="Times New Roman" w:cs="Times New Roman"/>
          <w:b/>
          <w:bCs/>
          <w:color w:val="000000"/>
          <w:sz w:val="28"/>
          <w:szCs w:val="28"/>
          <w:lang w:val="pt-PT"/>
        </w:rPr>
      </w:pPr>
      <w:bookmarkStart w:id="5" w:name="considerações-éticas"/>
      <w:bookmarkEnd w:id="4"/>
      <w:r w:rsidRPr="007E2F26">
        <w:rPr>
          <w:rFonts w:ascii="Times New Roman" w:hAnsi="Times New Roman" w:cs="Times New Roman"/>
          <w:b/>
          <w:bCs/>
          <w:color w:val="000000"/>
          <w:sz w:val="28"/>
          <w:szCs w:val="28"/>
          <w:lang w:val="pt-PT"/>
        </w:rPr>
        <w:t>Considerações Éticas</w:t>
      </w:r>
    </w:p>
    <w:p w14:paraId="7D75AAF8" w14:textId="34523F24" w:rsidR="000E2F84" w:rsidRPr="007E2F26" w:rsidRDefault="00BD01CB" w:rsidP="00B10342">
      <w:pPr>
        <w:pStyle w:val="FirstParagraph"/>
        <w:spacing w:line="360" w:lineRule="auto"/>
        <w:jc w:val="both"/>
        <w:rPr>
          <w:rFonts w:ascii="Times New Roman" w:hAnsi="Times New Roman" w:cs="Times New Roman"/>
          <w:lang w:val="pt-PT"/>
        </w:rPr>
      </w:pPr>
      <w:r w:rsidRPr="007E2F26">
        <w:rPr>
          <w:rFonts w:ascii="Times New Roman" w:hAnsi="Times New Roman" w:cs="Times New Roman"/>
          <w:lang w:val="pt-PT"/>
        </w:rPr>
        <w:t xml:space="preserve">O presente </w:t>
      </w:r>
      <w:r w:rsidR="00DE0CE2" w:rsidRPr="007E2F26">
        <w:rPr>
          <w:rFonts w:ascii="Times New Roman" w:hAnsi="Times New Roman" w:cs="Times New Roman"/>
          <w:lang w:val="pt-PT"/>
        </w:rPr>
        <w:t xml:space="preserve">artigo </w:t>
      </w:r>
      <w:r w:rsidRPr="007E2F26">
        <w:rPr>
          <w:rFonts w:ascii="Times New Roman" w:hAnsi="Times New Roman" w:cs="Times New Roman"/>
          <w:lang w:val="pt-PT"/>
        </w:rPr>
        <w:t>baseou-se exclusivamente em análise documental, investigação conceptual e literatura secundária. Não envolveu participantes humanos; consequentemente, não foi necessária aprovação ética formal.</w:t>
      </w:r>
    </w:p>
    <w:p w14:paraId="262CDD63" w14:textId="77777777" w:rsidR="000E2F84" w:rsidRPr="007E2F26" w:rsidRDefault="00BD01CB">
      <w:pPr>
        <w:pStyle w:val="Heading1"/>
        <w:rPr>
          <w:rFonts w:ascii="Times New Roman" w:hAnsi="Times New Roman" w:cs="Times New Roman"/>
          <w:b/>
          <w:bCs/>
          <w:color w:val="000000"/>
          <w:sz w:val="32"/>
          <w:szCs w:val="32"/>
          <w:lang w:val="pt-PT"/>
        </w:rPr>
      </w:pPr>
      <w:bookmarkStart w:id="6" w:name="resumo"/>
      <w:bookmarkEnd w:id="0"/>
      <w:bookmarkEnd w:id="5"/>
      <w:r w:rsidRPr="007E2F26">
        <w:rPr>
          <w:rFonts w:ascii="Times New Roman" w:hAnsi="Times New Roman" w:cs="Times New Roman"/>
          <w:b/>
          <w:bCs/>
          <w:color w:val="000000"/>
          <w:sz w:val="32"/>
          <w:szCs w:val="32"/>
          <w:lang w:val="pt-PT"/>
        </w:rPr>
        <w:lastRenderedPageBreak/>
        <w:t>Resumo</w:t>
      </w:r>
    </w:p>
    <w:p w14:paraId="0C30B85B" w14:textId="77777777" w:rsidR="007E2F26" w:rsidRPr="007E2F26" w:rsidRDefault="007E2F26" w:rsidP="007E2F26">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A investigação sobre Desenvolvimento da Primeira Infância (DPI) tem vindo a reconhecer, de forma crescente, a importância da responsividade contextual na configuração da aprendizagem, do bem-estar e da participação desenvolvimental das crianças. Ainda assim, paradigmas dominantes do desenvolvimento permanecem amplamente ancorados em pressupostos emergentes de contextos socioculturais substancialmente distintos daqueles que moldam a infância em numerosos ambientes relacionalmente organizados e caracterizados por limitações persistentes de recursos. Comparativamente reduzida permanece a atenção dedicada à forma como a própria teoria do desenvolvimento poderá emergir de sistemas de cuidado enraizados nas infâncias africanas.</w:t>
      </w:r>
    </w:p>
    <w:p w14:paraId="441D3E45" w14:textId="77777777" w:rsidR="007E2F26" w:rsidRPr="007E2F26" w:rsidRDefault="007E2F26" w:rsidP="007E2F26">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O presente artigo desenvolve uma análise conceptual da Estrutura Ubuntu de Desenvolvimento da Primeira Infância (DPI), uma abordagem do desenvolvimento informada pela implementação e ancorada em relações sociais, emergente de contextos moçambicanos. A estrutura encontra-se fundamentada em saberes locais e formas locais de saber e fazer, através dos quais cuidados, participação, aprendizagem e infância são organizados nas comunidades. O Ubuntu é conceptualizado não apenas enquanto filosofia ética, mas enquanto lógica organizadora do desenvolvimento através da qual pertença, participação, reciprocidade e bem-estar socioemocional se tornam dimensões constitutivas do desenvolvimento infantil.</w:t>
      </w:r>
    </w:p>
    <w:p w14:paraId="30EAB449" w14:textId="77777777" w:rsidR="007E2F26" w:rsidRPr="007E2F26" w:rsidRDefault="007E2F26" w:rsidP="007E2F26">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Ancorada primordialmente na Teoria dos Sistemas Ecológicos de Bronfenbrenner, em diálogo selectivo com perspectivas socioculturais, psicossociais, da vinculação e da aprendizagem social, a análise examina a fundamentação teórica da estrutura, os seus pressupostos pedagógicos, a responsividade contextual e a coerência do desenvolvimento que procura sustentar. O artigo considera igualmente de que modo tradições pedagógicas internacionalmente reconhecidas poderão ser reinterpretadas selectivamente à luz de ambientes localmente situados de desenvolvimento.</w:t>
      </w:r>
    </w:p>
    <w:p w14:paraId="683275F0" w14:textId="77777777" w:rsidR="007E2F26" w:rsidRDefault="007E2F26" w:rsidP="007E2F26">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A análise sugere que a estrutura oferece um contributo teoricamente fundamentado para os estudos do DPI ao reposicionar bem-estar infantil, participação e aprendizagem no interior de ecologias relacionais de cuidados que se estendem para além de modelos predominantemente centrados em instituições, ilustrando simultaneamente como a ciência do desenvolvimento poderá ser reinterpretada através de sistemas culturalmente ancorados de cuidados e vida social.</w:t>
      </w:r>
    </w:p>
    <w:p w14:paraId="52A484FB" w14:textId="0EEA650C" w:rsidR="000E2F84" w:rsidRDefault="00BD01CB" w:rsidP="007E2F26">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b/>
          <w:bCs/>
          <w:color w:val="000000"/>
          <w:lang w:val="pt-PT"/>
        </w:rPr>
        <w:lastRenderedPageBreak/>
        <w:t>Palavras-chave:</w:t>
      </w:r>
      <w:r w:rsidR="005C2696">
        <w:rPr>
          <w:rFonts w:ascii="Times New Roman" w:hAnsi="Times New Roman" w:cs="Times New Roman"/>
          <w:b/>
          <w:bCs/>
          <w:color w:val="000000"/>
          <w:lang w:val="pt-PT"/>
        </w:rPr>
        <w:t xml:space="preserve"> </w:t>
      </w:r>
      <w:r w:rsidR="009D115D" w:rsidRPr="009D115D">
        <w:rPr>
          <w:rFonts w:ascii="Times New Roman" w:hAnsi="Times New Roman" w:cs="Times New Roman"/>
          <w:color w:val="000000"/>
          <w:lang w:val="pt-PT"/>
        </w:rPr>
        <w:t>Desenvolvimento na primeira infância; Ubuntu; Ecologias relacionais d</w:t>
      </w:r>
      <w:r w:rsidR="009D115D">
        <w:rPr>
          <w:rFonts w:ascii="Times New Roman" w:hAnsi="Times New Roman" w:cs="Times New Roman"/>
          <w:color w:val="000000"/>
          <w:lang w:val="pt-PT"/>
        </w:rPr>
        <w:t>e</w:t>
      </w:r>
      <w:r w:rsidR="009D115D" w:rsidRPr="009D115D">
        <w:rPr>
          <w:rFonts w:ascii="Times New Roman" w:hAnsi="Times New Roman" w:cs="Times New Roman"/>
          <w:color w:val="000000"/>
          <w:lang w:val="pt-PT"/>
        </w:rPr>
        <w:t xml:space="preserve"> cuidado</w:t>
      </w:r>
      <w:r w:rsidR="009D115D">
        <w:rPr>
          <w:rFonts w:ascii="Times New Roman" w:hAnsi="Times New Roman" w:cs="Times New Roman"/>
          <w:color w:val="000000"/>
          <w:lang w:val="pt-PT"/>
        </w:rPr>
        <w:t>s</w:t>
      </w:r>
      <w:r w:rsidR="009D115D" w:rsidRPr="009D115D">
        <w:rPr>
          <w:rFonts w:ascii="Times New Roman" w:hAnsi="Times New Roman" w:cs="Times New Roman"/>
          <w:color w:val="000000"/>
          <w:lang w:val="pt-PT"/>
        </w:rPr>
        <w:t>; Moçambique; Sistemas de conhecimento local</w:t>
      </w:r>
      <w:r w:rsidRPr="007E2F26">
        <w:rPr>
          <w:rFonts w:ascii="Times New Roman" w:hAnsi="Times New Roman" w:cs="Times New Roman"/>
          <w:color w:val="000000"/>
          <w:lang w:val="pt-PT"/>
        </w:rPr>
        <w:t>.</w:t>
      </w:r>
    </w:p>
    <w:p w14:paraId="764FB765" w14:textId="77777777" w:rsidR="001A5E93" w:rsidRPr="001A5E93" w:rsidRDefault="001A5E93" w:rsidP="001A5E93">
      <w:pPr>
        <w:spacing w:before="100" w:beforeAutospacing="1" w:after="100" w:afterAutospacing="1" w:line="360" w:lineRule="auto"/>
        <w:jc w:val="both"/>
        <w:outlineLvl w:val="1"/>
        <w:rPr>
          <w:rFonts w:ascii="Times New Roman" w:eastAsia="Times New Roman" w:hAnsi="Times New Roman" w:cs="Times New Roman"/>
          <w:b/>
          <w:bCs/>
          <w:i/>
          <w:sz w:val="28"/>
          <w:szCs w:val="28"/>
        </w:rPr>
      </w:pPr>
      <w:r w:rsidRPr="001A5E93">
        <w:rPr>
          <w:rFonts w:ascii="Times New Roman" w:eastAsia="Times New Roman" w:hAnsi="Times New Roman" w:cs="Times New Roman"/>
          <w:b/>
          <w:bCs/>
          <w:i/>
          <w:sz w:val="28"/>
          <w:szCs w:val="28"/>
        </w:rPr>
        <w:t>Abstract</w:t>
      </w:r>
    </w:p>
    <w:p w14:paraId="6B3BA396" w14:textId="77777777" w:rsidR="001A5E93" w:rsidRPr="001A5E93" w:rsidRDefault="001A5E93" w:rsidP="001A5E93">
      <w:pPr>
        <w:spacing w:line="360" w:lineRule="auto"/>
        <w:jc w:val="both"/>
        <w:rPr>
          <w:rFonts w:ascii="Times New Roman" w:eastAsia="Calibri" w:hAnsi="Times New Roman" w:cs="Times New Roman"/>
          <w:i/>
          <w:kern w:val="2"/>
          <w14:ligatures w14:val="standardContextual"/>
        </w:rPr>
      </w:pPr>
      <w:r w:rsidRPr="001A5E93">
        <w:rPr>
          <w:rFonts w:ascii="Times New Roman" w:eastAsia="Calibri" w:hAnsi="Times New Roman" w:cs="Times New Roman"/>
          <w:i/>
          <w:kern w:val="2"/>
          <w14:ligatures w14:val="standardContextual"/>
        </w:rPr>
        <w:t>Early Childhood Development (ECD) scholarship increasingly recognizes the importance of contextual responsiveness in shaping children’s learning, wellbeing, and developmental participation. Yet dominant developmental paradigms remain largely grounded in assumptions emerging from socio-cultural environments markedly different from those shaping childhood across many relationally organized and resource-constrained settings. Comparatively limited scholarship has examined how developmental theory itself may emerge from caregiving systems embedded within African childhoods.</w:t>
      </w:r>
    </w:p>
    <w:p w14:paraId="69FFA21B" w14:textId="77777777" w:rsidR="001A5E93" w:rsidRPr="001A5E93" w:rsidRDefault="001A5E93" w:rsidP="001A5E93">
      <w:pPr>
        <w:spacing w:line="360" w:lineRule="auto"/>
        <w:jc w:val="both"/>
        <w:rPr>
          <w:rFonts w:ascii="Times New Roman" w:eastAsia="Calibri" w:hAnsi="Times New Roman" w:cs="Times New Roman"/>
          <w:i/>
          <w:kern w:val="2"/>
          <w14:ligatures w14:val="standardContextual"/>
        </w:rPr>
      </w:pPr>
      <w:r w:rsidRPr="001A5E93">
        <w:rPr>
          <w:rFonts w:ascii="Times New Roman" w:eastAsia="Calibri" w:hAnsi="Times New Roman" w:cs="Times New Roman"/>
          <w:i/>
          <w:kern w:val="2"/>
          <w14:ligatures w14:val="standardContextual"/>
        </w:rPr>
        <w:t xml:space="preserve">This article presents a conceptual analysis of the Ubuntu Early Childhood Development (ECD) Framework, an implementation-informed and relationally grounded developmental approach emerging from Mozambican contexts. Grounded in </w:t>
      </w:r>
      <w:r w:rsidRPr="001A5E93">
        <w:rPr>
          <w:rFonts w:ascii="Times New Roman" w:eastAsia="Calibri" w:hAnsi="Times New Roman" w:cs="Times New Roman"/>
          <w:i/>
          <w:iCs/>
          <w:kern w:val="2"/>
          <w14:ligatures w14:val="standardContextual"/>
        </w:rPr>
        <w:t>saberes locais</w:t>
      </w:r>
      <w:r w:rsidRPr="001A5E93">
        <w:rPr>
          <w:rFonts w:ascii="Times New Roman" w:eastAsia="Calibri" w:hAnsi="Times New Roman" w:cs="Times New Roman"/>
          <w:i/>
          <w:kern w:val="2"/>
          <w14:ligatures w14:val="standardContextual"/>
        </w:rPr>
        <w:t xml:space="preserve"> (local knowledge systems) and formas</w:t>
      </w:r>
      <w:r w:rsidRPr="001A5E93">
        <w:rPr>
          <w:rFonts w:ascii="Times New Roman" w:eastAsia="Calibri" w:hAnsi="Times New Roman" w:cs="Times New Roman"/>
          <w:i/>
          <w:iCs/>
          <w:kern w:val="2"/>
          <w14:ligatures w14:val="standardContextual"/>
        </w:rPr>
        <w:t xml:space="preserve"> locais de saber e fazer</w:t>
      </w:r>
      <w:r w:rsidRPr="001A5E93">
        <w:rPr>
          <w:rFonts w:ascii="Times New Roman" w:eastAsia="Calibri" w:hAnsi="Times New Roman" w:cs="Times New Roman"/>
          <w:i/>
          <w:kern w:val="2"/>
          <w14:ligatures w14:val="standardContextual"/>
        </w:rPr>
        <w:t xml:space="preserve"> (local ways of knowing and doing), the framework conceptualizes Ubuntu not merely as an ethical philosophy, but as an organizing developmental logic through which belonging, reciprocity, participation, and socio-emotional wellbeing become constitutive dimensions of childhood development.</w:t>
      </w:r>
    </w:p>
    <w:p w14:paraId="0EFAE650" w14:textId="77777777" w:rsidR="001A5E93" w:rsidRPr="001A5E93" w:rsidRDefault="001A5E93" w:rsidP="001A5E93">
      <w:pPr>
        <w:spacing w:line="360" w:lineRule="auto"/>
        <w:jc w:val="both"/>
        <w:rPr>
          <w:rFonts w:ascii="Times New Roman" w:eastAsia="Calibri" w:hAnsi="Times New Roman" w:cs="Times New Roman"/>
          <w:i/>
          <w:kern w:val="2"/>
          <w14:ligatures w14:val="standardContextual"/>
        </w:rPr>
      </w:pPr>
      <w:r w:rsidRPr="001A5E93">
        <w:rPr>
          <w:rFonts w:ascii="Times New Roman" w:eastAsia="Calibri" w:hAnsi="Times New Roman" w:cs="Times New Roman"/>
          <w:i/>
          <w:kern w:val="2"/>
          <w14:ligatures w14:val="standardContextual"/>
        </w:rPr>
        <w:t>Drawing principally upon Bronfenbrenner’s Ecological Systems Theory, while selectively engaging sociocultural, psychosocial, attachment, and social learning perspectives, the analysis examines the framework’s theoretical grounding, pedagogical assumptions, contextual responsiveness, and developmental coherence. The findings suggest that the framework contributes to ECD scholarship by repositioning child wellbeing, participation, and learning within relational ecologies of care extending beyond institution-centred developmental models, while illustrating how developmental science may be reinterpreted through culturally grounded systems of care and social life.</w:t>
      </w:r>
    </w:p>
    <w:p w14:paraId="459901D2" w14:textId="7D8E965A" w:rsidR="009D115D" w:rsidRDefault="001A5E93" w:rsidP="009D115D">
      <w:pPr>
        <w:spacing w:before="100" w:beforeAutospacing="1" w:after="100" w:afterAutospacing="1" w:line="360" w:lineRule="auto"/>
        <w:jc w:val="both"/>
        <w:rPr>
          <w:rFonts w:ascii="Times New Roman" w:eastAsia="Times New Roman" w:hAnsi="Times New Roman" w:cs="Times New Roman"/>
          <w:i/>
          <w:lang w:val="en-GB"/>
        </w:rPr>
      </w:pPr>
      <w:r w:rsidRPr="001A5E93">
        <w:rPr>
          <w:rFonts w:ascii="Times New Roman" w:eastAsia="Times New Roman" w:hAnsi="Times New Roman" w:cs="Times New Roman"/>
          <w:b/>
          <w:bCs/>
          <w:i/>
        </w:rPr>
        <w:t>Keywords:</w:t>
      </w:r>
      <w:r w:rsidRPr="001A5E93">
        <w:rPr>
          <w:rFonts w:ascii="Times New Roman" w:eastAsia="Times New Roman" w:hAnsi="Times New Roman" w:cs="Times New Roman"/>
          <w:i/>
          <w:lang w:val="en-GB"/>
        </w:rPr>
        <w:t xml:space="preserve"> </w:t>
      </w:r>
      <w:bookmarkStart w:id="7" w:name="introdução"/>
      <w:bookmarkEnd w:id="6"/>
      <w:r w:rsidR="009D115D" w:rsidRPr="009D115D">
        <w:rPr>
          <w:rFonts w:ascii="Times New Roman" w:eastAsia="Times New Roman" w:hAnsi="Times New Roman" w:cs="Times New Roman"/>
          <w:i/>
          <w:lang w:val="en-GB"/>
        </w:rPr>
        <w:t>Early Childhood Development; Ubuntu; Relational Ecologies of Care; Mozambique; Local Knowledge Systems.</w:t>
      </w:r>
    </w:p>
    <w:p w14:paraId="622AE58B" w14:textId="77777777" w:rsidR="009D115D" w:rsidRPr="009D115D" w:rsidRDefault="009D115D" w:rsidP="009D115D">
      <w:pPr>
        <w:spacing w:before="100" w:beforeAutospacing="1" w:after="100" w:afterAutospacing="1" w:line="360" w:lineRule="auto"/>
        <w:jc w:val="both"/>
        <w:rPr>
          <w:rFonts w:ascii="Times New Roman" w:eastAsia="Times New Roman" w:hAnsi="Times New Roman" w:cs="Times New Roman"/>
          <w:i/>
          <w:lang w:val="en-GB"/>
        </w:rPr>
      </w:pPr>
    </w:p>
    <w:p w14:paraId="0C8E7CEF" w14:textId="50220EA7" w:rsidR="000E2F84" w:rsidRPr="007E2F26" w:rsidRDefault="00BD01CB" w:rsidP="009D115D">
      <w:pPr>
        <w:spacing w:before="100" w:beforeAutospacing="1" w:after="100" w:afterAutospacing="1" w:line="360" w:lineRule="auto"/>
        <w:jc w:val="both"/>
        <w:rPr>
          <w:rFonts w:ascii="Times New Roman" w:hAnsi="Times New Roman" w:cs="Times New Roman"/>
          <w:b/>
          <w:bCs/>
          <w:color w:val="000000"/>
          <w:sz w:val="32"/>
          <w:szCs w:val="32"/>
          <w:lang w:val="pt-PT"/>
        </w:rPr>
      </w:pPr>
      <w:r w:rsidRPr="007E2F26">
        <w:rPr>
          <w:rFonts w:ascii="Times New Roman" w:hAnsi="Times New Roman" w:cs="Times New Roman"/>
          <w:b/>
          <w:bCs/>
          <w:color w:val="000000"/>
          <w:sz w:val="32"/>
          <w:szCs w:val="32"/>
          <w:lang w:val="pt-PT"/>
        </w:rPr>
        <w:t>Introdução</w:t>
      </w:r>
    </w:p>
    <w:p w14:paraId="515B97F1" w14:textId="6B4DD8D2" w:rsidR="000E2F84" w:rsidRPr="007E2F26" w:rsidRDefault="00BD01CB" w:rsidP="00CB46A4">
      <w:pPr>
        <w:pStyle w:val="FirstParagraph"/>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Os primeiros anos de vida constituem um período decisivo do desenvolvimento humano, moldando trajectórias cognitivas, emocionais, sociais e físicas cujas implicações frequentemente se prolongam ao longo do curso da vida. As experiências vividas durante a primeira infância influenciam participação educativa, bem-estar psicossocial, aquisição da linguagem, regulação emocional e resultados em saúde de longo prazo, frequentemente de formas que persistem até à idade adulta (Black et al., 2017; Daelmans et al., 2017). O reconhecimento do Desenvolvimento da Primeira Infância (DPI) enquanto fundamento das capacidades humanas contribuiu, consequentemente, para o aumento do investimento internacional em intervenções integradas orientadas para saúde, nutrição, cuidado</w:t>
      </w:r>
      <w:r w:rsidR="00DE0CE2"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responsivo</w:t>
      </w:r>
      <w:r w:rsidR="00DE0CE2" w:rsidRPr="007E2F26">
        <w:rPr>
          <w:rFonts w:ascii="Times New Roman" w:hAnsi="Times New Roman" w:cs="Times New Roman"/>
          <w:color w:val="000000"/>
          <w:lang w:val="pt-PT"/>
        </w:rPr>
        <w:t>s</w:t>
      </w:r>
      <w:r w:rsidRPr="007E2F26">
        <w:rPr>
          <w:rFonts w:ascii="Times New Roman" w:hAnsi="Times New Roman" w:cs="Times New Roman"/>
          <w:color w:val="000000"/>
          <w:lang w:val="pt-PT"/>
        </w:rPr>
        <w:t>, segurança, bem-estar psicossocial e oportunidades de aprendizagem precoce (Britto et al., 2017; World Health Organization et al., 2018).</w:t>
      </w:r>
    </w:p>
    <w:p w14:paraId="41E0DE74" w14:textId="60F39117" w:rsidR="000E2F84" w:rsidRPr="007E2F26" w:rsidRDefault="00BD01CB"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Apesar destes avanços, persistem questões relevantes quanto à capacidade dos paradigmas dominantes do desenvolvimento para apreender adequadamente as realidades socioculturais através das quais a infância é vivida em contextos distintos. Grande parte da produção científica influente sobre DPI, assim como várias tradições pedagógicas internacionalmente reconhecidas — incluindo Montessori, Reggio Emilia e a educação Waldorf — emergiu de contextos históricos, institucionais e socioculturais substancialmente distintos daqueles que moldam a infância em numerosos ambientes relacionalmente organizados e caracterizados por escassez persistente de recursos. Embora estas abordagens tenham contribuído significativamente para aprofundar compreensão sobre aprendizagem e desenvolvimento infantil, os seus pressupostos não podem ser transferidos de forma acrítica para contextos marcados por sistemas socialmente distribuídos de cuidado</w:t>
      </w:r>
      <w:r w:rsidR="004B0F70" w:rsidRPr="007E2F26">
        <w:rPr>
          <w:rFonts w:ascii="Times New Roman" w:hAnsi="Times New Roman" w:cs="Times New Roman"/>
          <w:color w:val="000000"/>
          <w:lang w:val="pt-PT"/>
        </w:rPr>
        <w:t>s</w:t>
      </w:r>
      <w:r w:rsidRPr="007E2F26">
        <w:rPr>
          <w:rFonts w:ascii="Times New Roman" w:hAnsi="Times New Roman" w:cs="Times New Roman"/>
          <w:color w:val="000000"/>
          <w:lang w:val="pt-PT"/>
        </w:rPr>
        <w:t>, realidades multilingues e formas culturalmente situadas de aprendizagem (</w:t>
      </w:r>
      <w:r w:rsidR="00D86756" w:rsidRPr="007E2F26">
        <w:rPr>
          <w:rFonts w:ascii="Times New Roman" w:hAnsi="Times New Roman" w:cs="Times New Roman"/>
          <w:color w:val="000000"/>
          <w:lang w:val="pt-PT"/>
        </w:rPr>
        <w:t xml:space="preserve">Keller, 2018; </w:t>
      </w:r>
      <w:r w:rsidRPr="007E2F26">
        <w:rPr>
          <w:rFonts w:ascii="Times New Roman" w:hAnsi="Times New Roman" w:cs="Times New Roman"/>
          <w:color w:val="000000"/>
          <w:lang w:val="pt-PT"/>
        </w:rPr>
        <w:t>Penn, 2011; Pence &amp; Marfo, 2020).</w:t>
      </w:r>
    </w:p>
    <w:p w14:paraId="6AC2E32D" w14:textId="021CCCE4" w:rsidR="000E2F84" w:rsidRPr="007E2F26" w:rsidRDefault="00BD01CB"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Esta preocupação assume particular relevância em numerosos contextos africanos, onde a infância frequentemente se desenrola através de sistemas relacionais e socialmente distribuídos de cuidado</w:t>
      </w:r>
      <w:r w:rsidR="004B0F70"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O apoio ao desenvolvimento estende-se, com frequência, para além dos pais biológicos, envolvendo avós, irmãos, vizinhos, redes familiares alargadas e outros actores </w:t>
      </w:r>
      <w:r w:rsidRPr="007E2F26">
        <w:rPr>
          <w:rFonts w:ascii="Times New Roman" w:hAnsi="Times New Roman" w:cs="Times New Roman"/>
          <w:color w:val="000000"/>
          <w:lang w:val="pt-PT"/>
        </w:rPr>
        <w:lastRenderedPageBreak/>
        <w:t>comunitários. Tais configurações relacionais da infância encontram-se amplamente documentadas em diferentes contextos africanos, nos quais</w:t>
      </w:r>
      <w:r w:rsidR="004B0F70" w:rsidRPr="007E2F26">
        <w:rPr>
          <w:rFonts w:ascii="Times New Roman" w:hAnsi="Times New Roman" w:cs="Times New Roman"/>
          <w:color w:val="000000"/>
          <w:lang w:val="pt-PT"/>
        </w:rPr>
        <w:t xml:space="preserve"> a</w:t>
      </w:r>
      <w:r w:rsidRPr="007E2F26">
        <w:rPr>
          <w:rFonts w:ascii="Times New Roman" w:hAnsi="Times New Roman" w:cs="Times New Roman"/>
          <w:color w:val="000000"/>
          <w:lang w:val="pt-PT"/>
        </w:rPr>
        <w:t xml:space="preserve"> participação infantil, responsabilidades de cuidado e pertença social tendem a emergir através de relações familiares e comunitárias interdependentes (Abebe &amp; Bessell, 2014). A aprendizagem, de igual modo, ocorre frequentemente através da participação na vida quotidiana, da oralidade, da observação, do envolvimento prático e da interacção intergeracional, e não exclusivamente em ambientes educativos formais (Nsamenang, 2006; Rogoff, 2003; Serpell &amp; Marfo, 2014; Serpell, 2022). Simultaneamente, os estudos sobre infâncias africanas alertam para os riscos de pressupostos homogeneizantes, sublinhando a diversidade significativa de arranjos de cuidado, expectativas sociais e formas de participação infantil entre contextos distintos (Twum-Danso Imoh, 2016).</w:t>
      </w:r>
    </w:p>
    <w:p w14:paraId="519229C9" w14:textId="693EED6E" w:rsidR="000E2F84" w:rsidRPr="007E2F26" w:rsidRDefault="00D86756"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Apesar do reconhecimento crescente da importância de abordagens localizadas e culturalmente responsivas ao Desenvolvimento da Primeira Infância, permanece comparativamente reduzida a atenção dedicada à forma como a própria teoria do desenvolvimento poderá emergir de sistemas de cuidado</w:t>
      </w:r>
      <w:r w:rsidR="004B0F70"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enraizados nas infâncias africanas (Marfo et al., 2021). Os debates existentes têm incidido predominantemente na adaptação de modelos internacionalmente reconhecidos a contextos locais, relegando para segundo plano a possibilidade de ecologias localmente constituídas de cuidado contribuírem, elas próprias, para aprofundar compreensões sobre </w:t>
      </w:r>
      <w:r w:rsidR="004B0F70" w:rsidRPr="007E2F26">
        <w:rPr>
          <w:rFonts w:ascii="Times New Roman" w:hAnsi="Times New Roman" w:cs="Times New Roman"/>
          <w:color w:val="000000"/>
          <w:lang w:val="pt-PT"/>
        </w:rPr>
        <w:t xml:space="preserve">o </w:t>
      </w:r>
      <w:r w:rsidRPr="007E2F26">
        <w:rPr>
          <w:rFonts w:ascii="Times New Roman" w:hAnsi="Times New Roman" w:cs="Times New Roman"/>
          <w:color w:val="000000"/>
          <w:lang w:val="pt-PT"/>
        </w:rPr>
        <w:t>desenvolvimento infantil.</w:t>
      </w:r>
    </w:p>
    <w:p w14:paraId="6F59E832" w14:textId="0FF6E79A" w:rsidR="000E2F84" w:rsidRPr="007E2F26" w:rsidRDefault="00BD01CB"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Moçambique oferece um contexto particularmente relevante para examinar estas tensões. Em numerosos contextos do país, as trajectórias do desenvolvimento infantil desenrolam-se na intersecção entre pobreza persistente, desigualdade educativa, insegurança alimentar, vulnerabilidade climática e acesso desigual a serviços de apoio ao desenvolvimento. Simultaneamente, os sistemas de cuidado</w:t>
      </w:r>
      <w:r w:rsidR="004B0F70"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permanecem frequentemente profundamente relacionais, distribuindo a responsabilidade pelo bem-estar infantil entre famílias, agregados alargados e comunidades. Em muitos contextos, a aprendizagem emerge através de narrativas orais, canções, imitação de rotinas quotidianas, participação prática,</w:t>
      </w:r>
      <w:r w:rsidR="004B0F70" w:rsidRPr="007E2F26">
        <w:rPr>
          <w:rFonts w:ascii="Times New Roman" w:hAnsi="Times New Roman" w:cs="Times New Roman"/>
          <w:color w:val="000000"/>
          <w:lang w:val="pt-PT"/>
        </w:rPr>
        <w:t xml:space="preserve"> brincadeiras, diálogo,</w:t>
      </w:r>
      <w:r w:rsidRPr="007E2F26">
        <w:rPr>
          <w:rFonts w:ascii="Times New Roman" w:hAnsi="Times New Roman" w:cs="Times New Roman"/>
          <w:color w:val="000000"/>
          <w:lang w:val="pt-PT"/>
        </w:rPr>
        <w:t xml:space="preserve"> interacções multilingues e processos colectivos de socialização inscritos na vida quotidiana.</w:t>
      </w:r>
    </w:p>
    <w:p w14:paraId="672DC0BF" w14:textId="72B975F2" w:rsidR="000E2F84" w:rsidRPr="007E2F26" w:rsidRDefault="00BD01CB"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 xml:space="preserve">A Estrutura Ubuntu de Desenvolvimento da Primeira Infância emerge, em parte, do reconhecimento de que abordagens dominantes do desenvolvimento nem sempre reflectem adequadamente as realidades relacionais e socialmente situadas que moldam a infância em </w:t>
      </w:r>
      <w:r w:rsidRPr="007E2F26">
        <w:rPr>
          <w:rFonts w:ascii="Times New Roman" w:hAnsi="Times New Roman" w:cs="Times New Roman"/>
          <w:color w:val="000000"/>
          <w:lang w:val="pt-PT"/>
        </w:rPr>
        <w:lastRenderedPageBreak/>
        <w:t xml:space="preserve">numerosas comunidades moçambicanas. A estrutura encontra-se enraizada em </w:t>
      </w:r>
      <w:r w:rsidRPr="007E2F26">
        <w:rPr>
          <w:rFonts w:ascii="Times New Roman" w:hAnsi="Times New Roman" w:cs="Times New Roman"/>
          <w:i/>
          <w:iCs/>
          <w:color w:val="000000"/>
          <w:lang w:val="pt-PT"/>
        </w:rPr>
        <w:t>saberes locais</w:t>
      </w:r>
      <w:r w:rsidRPr="007E2F26">
        <w:rPr>
          <w:rFonts w:ascii="Times New Roman" w:hAnsi="Times New Roman" w:cs="Times New Roman"/>
          <w:color w:val="000000"/>
          <w:lang w:val="pt-PT"/>
        </w:rPr>
        <w:t xml:space="preserve"> e </w:t>
      </w:r>
      <w:r w:rsidR="004B0F70" w:rsidRPr="007E2F26">
        <w:rPr>
          <w:rFonts w:ascii="Times New Roman" w:hAnsi="Times New Roman" w:cs="Times New Roman"/>
          <w:i/>
          <w:iCs/>
          <w:color w:val="000000"/>
          <w:lang w:val="pt-PT"/>
        </w:rPr>
        <w:t xml:space="preserve">formas </w:t>
      </w:r>
      <w:r w:rsidRPr="007E2F26">
        <w:rPr>
          <w:rFonts w:ascii="Times New Roman" w:hAnsi="Times New Roman" w:cs="Times New Roman"/>
          <w:i/>
          <w:iCs/>
          <w:color w:val="000000"/>
          <w:lang w:val="pt-PT"/>
        </w:rPr>
        <w:t>locais de saber e fazer</w:t>
      </w:r>
      <w:r w:rsidRPr="007E2F26">
        <w:rPr>
          <w:rFonts w:ascii="Times New Roman" w:hAnsi="Times New Roman" w:cs="Times New Roman"/>
          <w:color w:val="000000"/>
          <w:lang w:val="pt-PT"/>
        </w:rPr>
        <w:t>, através dos quais cuidado</w:t>
      </w:r>
      <w:r w:rsidR="004B0F70"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participação, aprendizagem e infância são organizados nas comunidades. </w:t>
      </w:r>
      <w:r w:rsidR="00D86756" w:rsidRPr="007E2F26">
        <w:rPr>
          <w:rFonts w:ascii="Times New Roman" w:hAnsi="Times New Roman" w:cs="Times New Roman"/>
          <w:color w:val="000000"/>
          <w:lang w:val="pt-PT"/>
        </w:rPr>
        <w:t>Estes sistemas localmente constituídos de conhecimento e participação social oferecem a base epistemológica através da qual o apoio ao desenvolvimento é compreendido e operacionalizado, em consonância com abordagens que sublinham a relevância da indigeneidade e dos sistemas locais de conhecimento para o desenvolvimento africano (Dei, 2000).</w:t>
      </w:r>
    </w:p>
    <w:p w14:paraId="61483F85" w14:textId="7DB0FE02" w:rsidR="000E2F84" w:rsidRPr="007E2F26" w:rsidRDefault="00BD01CB"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No interior desta base epistemológica, o Ubuntu funciona não apenas enquanto filosofia ética, mas enquanto lógica organizadora do desenvolvimento através da qual cuidado</w:t>
      </w:r>
      <w:r w:rsidR="004B0F70" w:rsidRPr="007E2F26">
        <w:rPr>
          <w:rFonts w:ascii="Times New Roman" w:hAnsi="Times New Roman" w:cs="Times New Roman"/>
          <w:color w:val="000000"/>
          <w:lang w:val="pt-PT"/>
        </w:rPr>
        <w:t>s</w:t>
      </w:r>
      <w:r w:rsidRPr="007E2F26">
        <w:rPr>
          <w:rFonts w:ascii="Times New Roman" w:hAnsi="Times New Roman" w:cs="Times New Roman"/>
          <w:color w:val="000000"/>
          <w:lang w:val="pt-PT"/>
        </w:rPr>
        <w:t>, reciprocidade, pertença, participação e bem-estar infantil se tornam dimensões constitutivas do desenvolvimento. A estrutura estabelece diálogo selectivo com tradições pedagógicas e do desenvolvimento internacionalmente reconhecidas, reinterpretando-as à luz de realidades localmente situadas de desenvolvimento, informadas por sistemas relacionais de cuidado e formas culturalmente situadas de participação.</w:t>
      </w:r>
    </w:p>
    <w:p w14:paraId="181B579A" w14:textId="7FD19DD9" w:rsidR="00B10342" w:rsidRPr="007E2F26" w:rsidRDefault="00B10342" w:rsidP="00CB46A4">
      <w:pPr>
        <w:pStyle w:val="FirstParagraph"/>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 xml:space="preserve">A estrutura ancora-se primordialmente na Teoria dos Sistemas Ecológicos de Bronfenbrenner (Bronfenbrenner, 1979; Bronfenbrenner &amp; Morris, 2006), enriquecida por contributos provenientes da Teoria Sociocultural de Vygotsky (Vygotsky, 1978), da Teoria do Desenvolvimento Cognitivo de Piaget (Piaget, 1952), da Teoria Psicossocial de Erikson (Erikson, 1963), da teoria da vinculação (Bowlby, 1969) e da Teoria da Aprendizagem Social (Bandura, 1977). A estrutura dialoga igualmente com tradições pedagógicas seleccionadas, incluindo Montessori (Montessori, 1967), Reggio Emilia (Edwards et al., 2012), educação Waldorf (Steiner, 1996) e o Quadro de Cuidados </w:t>
      </w:r>
      <w:r w:rsidR="004B0F70" w:rsidRPr="007E2F26">
        <w:rPr>
          <w:rFonts w:ascii="Times New Roman" w:hAnsi="Times New Roman" w:cs="Times New Roman"/>
          <w:color w:val="000000"/>
          <w:lang w:val="pt-PT"/>
        </w:rPr>
        <w:t>Afectivos</w:t>
      </w:r>
      <w:r w:rsidRPr="007E2F26">
        <w:rPr>
          <w:rFonts w:ascii="Times New Roman" w:hAnsi="Times New Roman" w:cs="Times New Roman"/>
          <w:color w:val="000000"/>
          <w:lang w:val="pt-PT"/>
        </w:rPr>
        <w:t xml:space="preserve"> (</w:t>
      </w:r>
      <w:r w:rsidRPr="007E2F26">
        <w:rPr>
          <w:rFonts w:ascii="Times New Roman" w:hAnsi="Times New Roman" w:cs="Times New Roman"/>
          <w:i/>
          <w:iCs/>
          <w:color w:val="000000"/>
          <w:lang w:val="pt-PT"/>
        </w:rPr>
        <w:t>Nurturing Care Framework</w:t>
      </w:r>
      <w:r w:rsidRPr="007E2F26">
        <w:rPr>
          <w:rFonts w:ascii="Times New Roman" w:hAnsi="Times New Roman" w:cs="Times New Roman"/>
          <w:color w:val="000000"/>
          <w:lang w:val="pt-PT"/>
        </w:rPr>
        <w:t xml:space="preserve">) (Britto et al., 2017; World Health Organization et al., 2018). O seu contributo distintivo reside, contudo, na reconceptualização do apoio ao desenvolvimento através do Ubuntu enquanto lógica organizadora do desenvolvimento emergente de sistemas relacionais de cuidado moldados por </w:t>
      </w:r>
      <w:r w:rsidRPr="007E2F26">
        <w:rPr>
          <w:rFonts w:ascii="Times New Roman" w:hAnsi="Times New Roman" w:cs="Times New Roman"/>
          <w:i/>
          <w:iCs/>
          <w:color w:val="000000"/>
          <w:lang w:val="pt-PT"/>
        </w:rPr>
        <w:t>saberes locais</w:t>
      </w:r>
      <w:r w:rsidRPr="007E2F26">
        <w:rPr>
          <w:rFonts w:ascii="Times New Roman" w:hAnsi="Times New Roman" w:cs="Times New Roman"/>
          <w:color w:val="000000"/>
          <w:lang w:val="pt-PT"/>
        </w:rPr>
        <w:t xml:space="preserve"> e </w:t>
      </w:r>
      <w:r w:rsidR="004B0F70" w:rsidRPr="007E2F26">
        <w:rPr>
          <w:rFonts w:ascii="Times New Roman" w:hAnsi="Times New Roman" w:cs="Times New Roman"/>
          <w:i/>
          <w:iCs/>
          <w:color w:val="000000"/>
          <w:lang w:val="pt-PT"/>
        </w:rPr>
        <w:t xml:space="preserve">formas </w:t>
      </w:r>
      <w:r w:rsidRPr="007E2F26">
        <w:rPr>
          <w:rFonts w:ascii="Times New Roman" w:hAnsi="Times New Roman" w:cs="Times New Roman"/>
          <w:i/>
          <w:iCs/>
          <w:color w:val="000000"/>
          <w:lang w:val="pt-PT"/>
        </w:rPr>
        <w:t>locais de saber e fazer</w:t>
      </w:r>
      <w:r w:rsidRPr="007E2F26">
        <w:rPr>
          <w:rFonts w:ascii="Times New Roman" w:hAnsi="Times New Roman" w:cs="Times New Roman"/>
          <w:color w:val="000000"/>
          <w:lang w:val="pt-PT"/>
        </w:rPr>
        <w:t>, em diálogo selectivo com conhecimento desenvolvimental internacionalmente reconhecido.</w:t>
      </w:r>
    </w:p>
    <w:p w14:paraId="6BFC729A" w14:textId="27A1959B"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Importa sublinhar que a mobilização do Ubuntu no presente artigo não pressupõe uniformidade conceptual entre contextos africanos. Embora o Ubuntu ofereça linguagem interpretativa relevante para compreender relacionalidade, reciprocidade, pertença e cuidado</w:t>
      </w:r>
      <w:r w:rsidR="001933EC"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colectivo, a </w:t>
      </w:r>
      <w:r w:rsidRPr="007E2F26">
        <w:rPr>
          <w:rFonts w:ascii="Times New Roman" w:hAnsi="Times New Roman" w:cs="Times New Roman"/>
          <w:color w:val="000000"/>
          <w:lang w:val="pt-PT"/>
        </w:rPr>
        <w:lastRenderedPageBreak/>
        <w:t xml:space="preserve">lógica do desenvolvimento aqui analisada é igualmente informada por </w:t>
      </w:r>
      <w:r w:rsidRPr="007E2F26">
        <w:rPr>
          <w:rFonts w:ascii="Times New Roman" w:hAnsi="Times New Roman" w:cs="Times New Roman"/>
          <w:i/>
          <w:iCs/>
          <w:color w:val="000000"/>
          <w:lang w:val="pt-PT"/>
        </w:rPr>
        <w:t>saberes locais</w:t>
      </w:r>
      <w:r w:rsidRPr="007E2F26">
        <w:rPr>
          <w:rFonts w:ascii="Times New Roman" w:hAnsi="Times New Roman" w:cs="Times New Roman"/>
          <w:color w:val="000000"/>
          <w:lang w:val="pt-PT"/>
        </w:rPr>
        <w:t xml:space="preserve"> e </w:t>
      </w:r>
      <w:r w:rsidR="001933EC" w:rsidRPr="007E2F26">
        <w:rPr>
          <w:rFonts w:ascii="Times New Roman" w:hAnsi="Times New Roman" w:cs="Times New Roman"/>
          <w:i/>
          <w:iCs/>
          <w:color w:val="000000"/>
          <w:lang w:val="pt-PT"/>
        </w:rPr>
        <w:t>formas</w:t>
      </w:r>
      <w:r w:rsidRPr="007E2F26">
        <w:rPr>
          <w:rFonts w:ascii="Times New Roman" w:hAnsi="Times New Roman" w:cs="Times New Roman"/>
          <w:i/>
          <w:iCs/>
          <w:color w:val="000000"/>
          <w:lang w:val="pt-PT"/>
        </w:rPr>
        <w:t xml:space="preserve"> locais de saber e fazer</w:t>
      </w:r>
      <w:r w:rsidRPr="007E2F26">
        <w:rPr>
          <w:rFonts w:ascii="Times New Roman" w:hAnsi="Times New Roman" w:cs="Times New Roman"/>
          <w:color w:val="000000"/>
          <w:lang w:val="pt-PT"/>
        </w:rPr>
        <w:t xml:space="preserve"> emergentes das realidades moçambicanas de cuidado</w:t>
      </w:r>
      <w:r w:rsidR="001933EC" w:rsidRPr="007E2F26">
        <w:rPr>
          <w:rFonts w:ascii="Times New Roman" w:hAnsi="Times New Roman" w:cs="Times New Roman"/>
          <w:color w:val="000000"/>
          <w:lang w:val="pt-PT"/>
        </w:rPr>
        <w:t>s</w:t>
      </w:r>
      <w:r w:rsidRPr="007E2F26">
        <w:rPr>
          <w:rFonts w:ascii="Times New Roman" w:hAnsi="Times New Roman" w:cs="Times New Roman"/>
          <w:color w:val="000000"/>
          <w:lang w:val="pt-PT"/>
        </w:rPr>
        <w:t>. Neste sentido, o Ubuntu não é tratado enquanto categoria explicativa culturalmente fixa, mas enquanto lógica organizadora do desenvolvimento interpretada à luz de realidades situadas, práticas comunitárias e formas culturalmente incorporadas de cuidado</w:t>
      </w:r>
      <w:r w:rsidR="001933EC"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(Twum-Danso Imoh, 2016). Esta posição converge igualmente com estudos contemporâneos da infância que alertam para os riscos de representações essencializadas da vida das crianças e sublinham a necessidade de interpretar a infância através de experiências situadas, relacionais e contextualmente ancoradas (Spyrou, 2018).</w:t>
      </w:r>
    </w:p>
    <w:p w14:paraId="4EC57EF9" w14:textId="6CA99E87"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O presente artigo oferece três contributos interrelacionados para os estudos sobre Desenvolvimento da Primeira Infância. Em primeiro lugar, reconceptualiza o apoio ao desenvolvimento a partir de ambientes relacionais de cuidado</w:t>
      </w:r>
      <w:r w:rsidR="001933EC"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nos quais o bem-estar infantil emerge através de sistemas socialmente distribuídos, e não exclusivamente de intervenções institucionalmente centradas. Em segundo lugar, desloca o Ubuntu para além do domínio ético, posicionando-o enquanto lógica organizadora do desenvolvimento através da qual pertença, participação, reciprocidade e bem-estar socioemocional se tornam dimensões constitutivas da infância. Em terceiro lugar, contribui para debates mais amplos sobre ciência do desenvolvimento culturalmente responsiva ao ilustrar de que modo conhecimento sobre desenvolvimento poderá ser interpretado através de sistemas localmente situados de cuidado</w:t>
      </w:r>
      <w:r w:rsidR="001933EC"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e infâncias socialmente incorporadas. Neste sentido, o artigo contribui não apenas para a ciência do desenvolvimento culturalmente responsiva, mas também para reconsiderações mais amplas acerca da forma como a própria teoria do desenvolvimento poderá emergir de sistemas localmente constituídos de cuidado</w:t>
      </w:r>
      <w:r w:rsidR="001933EC" w:rsidRPr="007E2F26">
        <w:rPr>
          <w:rFonts w:ascii="Times New Roman" w:hAnsi="Times New Roman" w:cs="Times New Roman"/>
          <w:color w:val="000000"/>
          <w:lang w:val="pt-PT"/>
        </w:rPr>
        <w:t>s</w:t>
      </w:r>
      <w:r w:rsidRPr="007E2F26">
        <w:rPr>
          <w:rFonts w:ascii="Times New Roman" w:hAnsi="Times New Roman" w:cs="Times New Roman"/>
          <w:color w:val="000000"/>
          <w:lang w:val="pt-PT"/>
        </w:rPr>
        <w:t>.</w:t>
      </w:r>
    </w:p>
    <w:p w14:paraId="09A4E835" w14:textId="17B908BF"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O presente artigo desenvolve uma análise conceptual da Estrutura Ubuntu de Desenvolvimento da Primeira Infância com o objectivo de examinar a sua fundamentação teórica, pressupostos pedagógicos, responsividade contextual e coerência do desenvolvimento em contextos moçambicanos. Ao fazê-lo, procura contribuir para debates académicos mais amplos relacionados com ciência do desenvolvimento culturalmente responsiva, localização no Desenvolvimento da Primeira Infância, infâncias africanas e interpretação contextual do apoio ao desenvolvimento no interior de mundos relacionais de cuidado</w:t>
      </w:r>
      <w:r w:rsidR="001933EC" w:rsidRPr="007E2F26">
        <w:rPr>
          <w:rFonts w:ascii="Times New Roman" w:hAnsi="Times New Roman" w:cs="Times New Roman"/>
          <w:color w:val="000000"/>
          <w:lang w:val="pt-PT"/>
        </w:rPr>
        <w:t>s</w:t>
      </w:r>
      <w:r w:rsidRPr="007E2F26">
        <w:rPr>
          <w:rFonts w:ascii="Times New Roman" w:hAnsi="Times New Roman" w:cs="Times New Roman"/>
          <w:color w:val="000000"/>
          <w:lang w:val="pt-PT"/>
        </w:rPr>
        <w:t>.</w:t>
      </w:r>
    </w:p>
    <w:p w14:paraId="166CF340" w14:textId="77777777"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lastRenderedPageBreak/>
        <w:t>Com o propósito de oferecer enquadramento conceptual para a proposta analisada, a Figura 1 apresenta uma representação simplificada da Estrutura Ubuntu de Desenvolvimento da Primeira Infância, tal como refinada através da implementação comunitária em Moçambique.</w:t>
      </w:r>
    </w:p>
    <w:p w14:paraId="1852DA14" w14:textId="6A821D39" w:rsidR="0038108B" w:rsidRPr="007E2F26" w:rsidRDefault="0038108B" w:rsidP="00CB46A4">
      <w:pPr>
        <w:pStyle w:val="BodyText"/>
        <w:spacing w:line="360" w:lineRule="auto"/>
        <w:jc w:val="both"/>
        <w:rPr>
          <w:rFonts w:ascii="Times New Roman" w:hAnsi="Times New Roman" w:cs="Times New Roman"/>
          <w:color w:val="000000"/>
          <w:lang w:val="pt-PT"/>
        </w:rPr>
      </w:pPr>
      <w:r w:rsidRPr="007E2F26">
        <w:rPr>
          <w:noProof/>
        </w:rPr>
        <w:drawing>
          <wp:inline distT="0" distB="0" distL="0" distR="0" wp14:anchorId="1CA80513" wp14:editId="3D62623F">
            <wp:extent cx="5270500" cy="2964656"/>
            <wp:effectExtent l="0" t="0" r="6350" b="7620"/>
            <wp:docPr id="1439638346"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9638346" name=""/>
                    <pic:cNvPicPr/>
                  </pic:nvPicPr>
                  <pic:blipFill>
                    <a:blip r:embed="rId9">
                      <a:extLst>
                        <a:ext uri="{96DAC541-7B7A-43D3-8B79-37D633B846F1}">
                          <asvg:svgBlip xmlns:asvg="http://schemas.microsoft.com/office/drawing/2016/SVG/main"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xmlns:w16se="http://schemas.microsoft.com/office/word/2015/wordml/symex" xmlns:w15="http://schemas.microsoft.com/office/word/2012/wordml" xmlns:cx="http://schemas.microsoft.com/office/drawing/2014/chartex" r:embed="rId10"/>
                        </a:ext>
                      </a:extLst>
                    </a:blip>
                    <a:stretch>
                      <a:fillRect/>
                    </a:stretch>
                  </pic:blipFill>
                  <pic:spPr>
                    <a:xfrm>
                      <a:off x="0" y="0"/>
                      <a:ext cx="5273885" cy="2966560"/>
                    </a:xfrm>
                    <a:prstGeom prst="rect">
                      <a:avLst/>
                    </a:prstGeom>
                  </pic:spPr>
                </pic:pic>
              </a:graphicData>
            </a:graphic>
          </wp:inline>
        </w:drawing>
      </w:r>
    </w:p>
    <w:p w14:paraId="6CBCA85A" w14:textId="77777777"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b/>
          <w:bCs/>
          <w:color w:val="000000"/>
          <w:lang w:val="pt-PT"/>
        </w:rPr>
        <w:t>Figura 1. Estrutura Ubuntu de Desenvolvimento da Primeira Infância (DPI)</w:t>
      </w:r>
    </w:p>
    <w:p w14:paraId="1C937730" w14:textId="77777777"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A Figura 1 apresenta representação simplificada da Estrutura Ubuntu de Desenvolvimento da Primeira Infância, refinada através da implementação comunitária em Moçambique. Incluída para fins de orientação conceptual, ilustra princípios desenvolvimentais fundamentais, estruturas relacionais e trajectórias de implementação que informam a proposta analisada neste artigo.</w:t>
      </w:r>
    </w:p>
    <w:p w14:paraId="605034E4" w14:textId="77777777" w:rsidR="00B10342" w:rsidRPr="007E2F26" w:rsidRDefault="00B10342" w:rsidP="00CB46A4">
      <w:pPr>
        <w:pStyle w:val="Heading1"/>
        <w:spacing w:line="360" w:lineRule="auto"/>
        <w:jc w:val="both"/>
        <w:rPr>
          <w:rFonts w:ascii="Times New Roman" w:hAnsi="Times New Roman" w:cs="Times New Roman"/>
          <w:b/>
          <w:bCs/>
          <w:color w:val="000000"/>
          <w:sz w:val="32"/>
          <w:szCs w:val="32"/>
          <w:lang w:val="pt-PT"/>
        </w:rPr>
      </w:pPr>
      <w:bookmarkStart w:id="8" w:name="metodologia"/>
      <w:r w:rsidRPr="007E2F26">
        <w:rPr>
          <w:rFonts w:ascii="Times New Roman" w:hAnsi="Times New Roman" w:cs="Times New Roman"/>
          <w:b/>
          <w:bCs/>
          <w:color w:val="000000"/>
          <w:sz w:val="32"/>
          <w:szCs w:val="32"/>
          <w:lang w:val="pt-PT"/>
        </w:rPr>
        <w:t>Metodologia</w:t>
      </w:r>
    </w:p>
    <w:p w14:paraId="000A0179" w14:textId="77777777" w:rsidR="00B10342" w:rsidRPr="007E2F26" w:rsidRDefault="00B10342" w:rsidP="00CB46A4">
      <w:pPr>
        <w:pStyle w:val="Heading2"/>
        <w:spacing w:line="360" w:lineRule="auto"/>
        <w:jc w:val="both"/>
        <w:rPr>
          <w:rFonts w:ascii="Times New Roman" w:hAnsi="Times New Roman" w:cs="Times New Roman"/>
          <w:b/>
          <w:bCs/>
          <w:color w:val="000000"/>
          <w:sz w:val="28"/>
          <w:szCs w:val="28"/>
          <w:lang w:val="pt-PT"/>
        </w:rPr>
      </w:pPr>
      <w:bookmarkStart w:id="9" w:name="desenho-da-investigação"/>
      <w:r w:rsidRPr="007E2F26">
        <w:rPr>
          <w:rFonts w:ascii="Times New Roman" w:hAnsi="Times New Roman" w:cs="Times New Roman"/>
          <w:b/>
          <w:bCs/>
          <w:color w:val="000000"/>
          <w:sz w:val="28"/>
          <w:szCs w:val="28"/>
          <w:lang w:val="pt-PT"/>
        </w:rPr>
        <w:t>Desenho da Investigação</w:t>
      </w:r>
    </w:p>
    <w:p w14:paraId="1AE72EFD" w14:textId="7CF513E0" w:rsidR="00B10342" w:rsidRPr="007E2F26" w:rsidRDefault="00B10342" w:rsidP="00CB46A4">
      <w:pPr>
        <w:pStyle w:val="FirstParagraph"/>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 xml:space="preserve">O presente artigo adopta um desenho qualitativo de natureza conceptual e analítica para examinar a Estrutura Ubuntu de Desenvolvimento da Primeira Infância (DPI) enquanto abordagem do desenvolvimento informada pela implementação e ancorada em relações sociais, emergente de contextos moçambicanos. Em vez de avaliar eficácia programática, o </w:t>
      </w:r>
      <w:r w:rsidR="002E04EA" w:rsidRPr="007E2F26">
        <w:rPr>
          <w:rFonts w:ascii="Times New Roman" w:hAnsi="Times New Roman" w:cs="Times New Roman"/>
          <w:color w:val="000000"/>
          <w:lang w:val="pt-PT"/>
        </w:rPr>
        <w:t xml:space="preserve">artigo </w:t>
      </w:r>
      <w:r w:rsidRPr="007E2F26">
        <w:rPr>
          <w:rFonts w:ascii="Times New Roman" w:hAnsi="Times New Roman" w:cs="Times New Roman"/>
          <w:color w:val="000000"/>
          <w:lang w:val="pt-PT"/>
        </w:rPr>
        <w:t xml:space="preserve">desenvolve uma análise conceptual teoricamente informada dos pressupostos do desenvolvimento, orientações pedagógicas, responsividade contextual e coerência interna da </w:t>
      </w:r>
      <w:r w:rsidRPr="007E2F26">
        <w:rPr>
          <w:rFonts w:ascii="Times New Roman" w:hAnsi="Times New Roman" w:cs="Times New Roman"/>
          <w:color w:val="000000"/>
          <w:lang w:val="pt-PT"/>
        </w:rPr>
        <w:lastRenderedPageBreak/>
        <w:t>estrutura. A investigação conceptual revela-se particularmente adequada quando estruturas emergentes de desenvolvimento procuram interpretar bem-estar infantil e aprendizagem através de sistemas localmente situados de cuidado</w:t>
      </w:r>
      <w:r w:rsidR="002E04EA"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e participação antes de extensa validação empírica.</w:t>
      </w:r>
    </w:p>
    <w:p w14:paraId="320263F3" w14:textId="61087DE5"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A estrutura analisada neste artigo não emergiu exclusivamente de síntese teórica, tendo sido refinada iterativamente ao longo de aproximadamente seis anos de implementação em contextos comunitários de Desenvolvimento da Primeira Infância em Moçambique, sobretudo através do programa</w:t>
      </w:r>
      <w:r w:rsidR="002E04EA" w:rsidRPr="007E2F26">
        <w:rPr>
          <w:rFonts w:ascii="Times New Roman" w:hAnsi="Times New Roman" w:cs="Times New Roman"/>
          <w:color w:val="000000"/>
          <w:lang w:val="pt-PT"/>
        </w:rPr>
        <w:t xml:space="preserve"> da</w:t>
      </w:r>
      <w:r w:rsidRPr="007E2F26">
        <w:rPr>
          <w:rFonts w:ascii="Times New Roman" w:hAnsi="Times New Roman" w:cs="Times New Roman"/>
          <w:color w:val="000000"/>
          <w:lang w:val="pt-PT"/>
        </w:rPr>
        <w:t xml:space="preserve"> Wona Sanana. Durante este processo, o envolvimento contínuo com cuidadores, facilitadores, comunidades e crianças </w:t>
      </w:r>
      <w:r w:rsidR="002E04EA" w:rsidRPr="007E2F26">
        <w:rPr>
          <w:rFonts w:ascii="Times New Roman" w:hAnsi="Times New Roman" w:cs="Times New Roman"/>
          <w:color w:val="000000"/>
          <w:lang w:val="pt-PT"/>
        </w:rPr>
        <w:t xml:space="preserve">na primeira infância </w:t>
      </w:r>
      <w:r w:rsidRPr="007E2F26">
        <w:rPr>
          <w:rFonts w:ascii="Times New Roman" w:hAnsi="Times New Roman" w:cs="Times New Roman"/>
          <w:color w:val="000000"/>
          <w:lang w:val="pt-PT"/>
        </w:rPr>
        <w:t>contribuiu para adaptação prática e refinamento conceptual em resposta às realidades contextuais que moldam infância, participação e cuidado</w:t>
      </w:r>
      <w:r w:rsidR="002E04EA" w:rsidRPr="007E2F26">
        <w:rPr>
          <w:rFonts w:ascii="Times New Roman" w:hAnsi="Times New Roman" w:cs="Times New Roman"/>
          <w:color w:val="000000"/>
          <w:lang w:val="pt-PT"/>
        </w:rPr>
        <w:t>s</w:t>
      </w:r>
      <w:r w:rsidRPr="007E2F26">
        <w:rPr>
          <w:rFonts w:ascii="Times New Roman" w:hAnsi="Times New Roman" w:cs="Times New Roman"/>
          <w:color w:val="000000"/>
          <w:lang w:val="pt-PT"/>
        </w:rPr>
        <w:t>. Consequentemente, a estrutura é aqui abordada enquanto modelo conceptual informado pela implementação, progressivamente refinado através de envolvimento comunitário sustentado e adaptação contextual.</w:t>
      </w:r>
    </w:p>
    <w:p w14:paraId="20C11FB2" w14:textId="77777777"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Neste sentido, a análise não procurou estabelecer relações causais relativas a resultados do desenvolvimento, mas examinar coerência conceptual, responsividade contextual e plausibilidade teórica no interior de uma estrutura do desenvolvimento informada pela implementação.</w:t>
      </w:r>
    </w:p>
    <w:p w14:paraId="2BE9AEE8" w14:textId="77777777" w:rsidR="00B10342" w:rsidRPr="007E2F26" w:rsidRDefault="00B10342" w:rsidP="00CB46A4">
      <w:pPr>
        <w:pStyle w:val="Heading2"/>
        <w:spacing w:line="360" w:lineRule="auto"/>
        <w:jc w:val="both"/>
        <w:rPr>
          <w:rFonts w:ascii="Times New Roman" w:hAnsi="Times New Roman" w:cs="Times New Roman"/>
          <w:b/>
          <w:bCs/>
          <w:color w:val="000000"/>
          <w:sz w:val="28"/>
          <w:szCs w:val="28"/>
          <w:lang w:val="pt-PT"/>
        </w:rPr>
      </w:pPr>
      <w:bookmarkStart w:id="10" w:name="análise-conceptual-enquanto-método"/>
      <w:bookmarkEnd w:id="9"/>
      <w:r w:rsidRPr="007E2F26">
        <w:rPr>
          <w:rFonts w:ascii="Times New Roman" w:hAnsi="Times New Roman" w:cs="Times New Roman"/>
          <w:b/>
          <w:bCs/>
          <w:color w:val="000000"/>
          <w:sz w:val="28"/>
          <w:szCs w:val="28"/>
          <w:lang w:val="pt-PT"/>
        </w:rPr>
        <w:t>Análise Conceptual enquanto Método</w:t>
      </w:r>
    </w:p>
    <w:p w14:paraId="3EE7B972" w14:textId="77777777" w:rsidR="00B10342" w:rsidRPr="007E2F26" w:rsidRDefault="00B10342" w:rsidP="00CB46A4">
      <w:pPr>
        <w:pStyle w:val="FirstParagraph"/>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A análise conceptual foi conduzida através de um processo interpretativo e teoricamente informado de síntese documental e académica. Em vez de examinar resultados programáticos, a análise centrou-se na coerência, consistência conceptual, responsividade contextual e fundamentação teórica da Estrutura Ubuntu de Desenvolvimento da Primeira Infância.</w:t>
      </w:r>
    </w:p>
    <w:p w14:paraId="5AC228F9" w14:textId="239E4C24"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 xml:space="preserve">A coerência conceptual foi examinada através de quatro domínios analíticos interrelacionados: (1) </w:t>
      </w:r>
      <w:r w:rsidRPr="007E2F26">
        <w:rPr>
          <w:rFonts w:ascii="Times New Roman" w:hAnsi="Times New Roman" w:cs="Times New Roman"/>
          <w:b/>
          <w:bCs/>
          <w:color w:val="000000"/>
          <w:lang w:val="pt-PT"/>
        </w:rPr>
        <w:t>fundamentação teórica</w:t>
      </w:r>
      <w:r w:rsidRPr="007E2F26">
        <w:rPr>
          <w:rFonts w:ascii="Times New Roman" w:hAnsi="Times New Roman" w:cs="Times New Roman"/>
          <w:color w:val="000000"/>
          <w:lang w:val="pt-PT"/>
        </w:rPr>
        <w:t xml:space="preserve">, avaliando alinhamento com perspectivas consolidadas do desenvolvimento; (2) </w:t>
      </w:r>
      <w:r w:rsidRPr="007E2F26">
        <w:rPr>
          <w:rFonts w:ascii="Times New Roman" w:hAnsi="Times New Roman" w:cs="Times New Roman"/>
          <w:b/>
          <w:bCs/>
          <w:color w:val="000000"/>
          <w:lang w:val="pt-PT"/>
        </w:rPr>
        <w:t>relevância pedagógica</w:t>
      </w:r>
      <w:r w:rsidRPr="007E2F26">
        <w:rPr>
          <w:rFonts w:ascii="Times New Roman" w:hAnsi="Times New Roman" w:cs="Times New Roman"/>
          <w:color w:val="000000"/>
          <w:lang w:val="pt-PT"/>
        </w:rPr>
        <w:t xml:space="preserve">, examinando a forma como tradições do desenvolvimento e da educação foram reinterpretadas selectivamente no interior de ambientes locais de desenvolvimento; (3) </w:t>
      </w:r>
      <w:r w:rsidRPr="007E2F26">
        <w:rPr>
          <w:rFonts w:ascii="Times New Roman" w:hAnsi="Times New Roman" w:cs="Times New Roman"/>
          <w:b/>
          <w:bCs/>
          <w:color w:val="000000"/>
          <w:lang w:val="pt-PT"/>
        </w:rPr>
        <w:t>responsividade contextual</w:t>
      </w:r>
      <w:r w:rsidRPr="007E2F26">
        <w:rPr>
          <w:rFonts w:ascii="Times New Roman" w:hAnsi="Times New Roman" w:cs="Times New Roman"/>
          <w:color w:val="000000"/>
          <w:lang w:val="pt-PT"/>
        </w:rPr>
        <w:t>, considerando até que ponto a estrutura reflecte sistemas relacionais de cuidado</w:t>
      </w:r>
      <w:r w:rsidR="002E04EA"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realidades multilingues e formas comunitariamente organizadas de participação; e (4) </w:t>
      </w:r>
      <w:r w:rsidRPr="007E2F26">
        <w:rPr>
          <w:rFonts w:ascii="Times New Roman" w:hAnsi="Times New Roman" w:cs="Times New Roman"/>
          <w:b/>
          <w:bCs/>
          <w:color w:val="000000"/>
          <w:lang w:val="pt-PT"/>
        </w:rPr>
        <w:t>continuidade do desenvolvimento</w:t>
      </w:r>
      <w:r w:rsidRPr="007E2F26">
        <w:rPr>
          <w:rFonts w:ascii="Times New Roman" w:hAnsi="Times New Roman" w:cs="Times New Roman"/>
          <w:color w:val="000000"/>
          <w:lang w:val="pt-PT"/>
        </w:rPr>
        <w:t>, avaliando coerência entre experiências precoces do desenvolvimento e práticas de cuidado</w:t>
      </w:r>
      <w:r w:rsidR="002E04EA" w:rsidRPr="007E2F26">
        <w:rPr>
          <w:rFonts w:ascii="Times New Roman" w:hAnsi="Times New Roman" w:cs="Times New Roman"/>
          <w:color w:val="000000"/>
          <w:lang w:val="pt-PT"/>
        </w:rPr>
        <w:t>s</w:t>
      </w:r>
      <w:r w:rsidRPr="007E2F26">
        <w:rPr>
          <w:rFonts w:ascii="Times New Roman" w:hAnsi="Times New Roman" w:cs="Times New Roman"/>
          <w:color w:val="000000"/>
          <w:lang w:val="pt-PT"/>
        </w:rPr>
        <w:t>.</w:t>
      </w:r>
    </w:p>
    <w:p w14:paraId="65AABB23" w14:textId="795FAF5F"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lastRenderedPageBreak/>
        <w:t>Esta abordagem permitiu examinar sistematicamente a forma como a estrutura conceptualiza bem-estar infantil, participação, aprendizagem e cuidado</w:t>
      </w:r>
      <w:r w:rsidR="002E04EA"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no interior de ambientes relacionais do desenvolvimento. O processo analítico envolveu igualmente comparação itera</w:t>
      </w:r>
      <w:r w:rsidR="002E04EA" w:rsidRPr="007E2F26">
        <w:rPr>
          <w:rFonts w:ascii="Times New Roman" w:hAnsi="Times New Roman" w:cs="Times New Roman"/>
          <w:color w:val="000000"/>
          <w:lang w:val="pt-PT"/>
        </w:rPr>
        <w:t>c</w:t>
      </w:r>
      <w:r w:rsidRPr="007E2F26">
        <w:rPr>
          <w:rFonts w:ascii="Times New Roman" w:hAnsi="Times New Roman" w:cs="Times New Roman"/>
          <w:color w:val="000000"/>
          <w:lang w:val="pt-PT"/>
        </w:rPr>
        <w:t>tiva entre práticas do desenvolvimento informadas pela implementação, pressupostos conceptuais incorporados na estrutura e literatura consolidada sobre desenvolvimento infantil, com vista a examinar coerência interna, responsividade contextual e plausibilidade teórica.</w:t>
      </w:r>
    </w:p>
    <w:p w14:paraId="61DA1005" w14:textId="77777777" w:rsidR="00B10342" w:rsidRPr="007E2F26" w:rsidRDefault="00B10342" w:rsidP="00CB46A4">
      <w:pPr>
        <w:pStyle w:val="Heading2"/>
        <w:spacing w:line="360" w:lineRule="auto"/>
        <w:jc w:val="both"/>
        <w:rPr>
          <w:rFonts w:ascii="Times New Roman" w:hAnsi="Times New Roman" w:cs="Times New Roman"/>
          <w:b/>
          <w:bCs/>
          <w:color w:val="000000"/>
          <w:sz w:val="28"/>
          <w:szCs w:val="28"/>
          <w:lang w:val="pt-PT"/>
        </w:rPr>
      </w:pPr>
      <w:bookmarkStart w:id="11" w:name="Xe0f580a391f1154b3584cb6cbc6d9cf25538719"/>
      <w:bookmarkEnd w:id="10"/>
      <w:r w:rsidRPr="007E2F26">
        <w:rPr>
          <w:rFonts w:ascii="Times New Roman" w:hAnsi="Times New Roman" w:cs="Times New Roman"/>
          <w:b/>
          <w:bCs/>
          <w:color w:val="000000"/>
          <w:sz w:val="28"/>
          <w:szCs w:val="28"/>
          <w:lang w:val="pt-PT"/>
        </w:rPr>
        <w:t>Fontes de Evidência e Procedimento Analítico</w:t>
      </w:r>
    </w:p>
    <w:p w14:paraId="05A575A6" w14:textId="77777777" w:rsidR="00B10342" w:rsidRPr="007E2F26" w:rsidRDefault="00B10342" w:rsidP="00CB46A4">
      <w:pPr>
        <w:pStyle w:val="FirstParagraph"/>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A análise baseou-se em múltiplas fontes de evidência, incluindo documentação de implementação, materiais programáticos, reflexões de facilitadores, observações de campo, recursos do desenvolvimento utilizados em contextos Ubuntu de DPI e literatura académica relacionada com Desenvolvimento da Primeira Infância, aprendizagem sociocultural, cuidado relacional, infâncias africanas e teoria pedagógica.</w:t>
      </w:r>
    </w:p>
    <w:p w14:paraId="379F0F03" w14:textId="0EB454DF"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A análise documental incidiu sobre a forma como pressupostos do desenvolvimento, práticas de cuidado</w:t>
      </w:r>
      <w:r w:rsidR="002E04EA" w:rsidRPr="007E2F26">
        <w:rPr>
          <w:rFonts w:ascii="Times New Roman" w:hAnsi="Times New Roman" w:cs="Times New Roman"/>
          <w:color w:val="000000"/>
          <w:lang w:val="pt-PT"/>
        </w:rPr>
        <w:t>s</w:t>
      </w:r>
      <w:r w:rsidRPr="007E2F26">
        <w:rPr>
          <w:rFonts w:ascii="Times New Roman" w:hAnsi="Times New Roman" w:cs="Times New Roman"/>
          <w:color w:val="000000"/>
          <w:lang w:val="pt-PT"/>
        </w:rPr>
        <w:t>, orientações pedagógicas e participação comunitária são representados no interior da estrutura e traduzidos em práticas quotidianas. Estas fontes foram mobilizadas analiticamente para examinar como pressupostos do desenvolvimento, práticas de cuidado</w:t>
      </w:r>
      <w:r w:rsidR="002E04EA"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e orientações pedagógicas são conceptualizados e operacionalizados no interior da proposta, e não para sustentar alegações empíricas acerca da eficácia programática.</w:t>
      </w:r>
    </w:p>
    <w:bookmarkEnd w:id="11"/>
    <w:p w14:paraId="6C0FB849" w14:textId="77777777" w:rsidR="00B10342" w:rsidRPr="007E2F26" w:rsidRDefault="00B10342" w:rsidP="00CB46A4">
      <w:pPr>
        <w:pStyle w:val="Heading2"/>
        <w:spacing w:line="360" w:lineRule="auto"/>
        <w:jc w:val="both"/>
        <w:rPr>
          <w:rFonts w:ascii="Times New Roman" w:hAnsi="Times New Roman" w:cs="Times New Roman"/>
          <w:b/>
          <w:bCs/>
          <w:color w:val="000000"/>
          <w:sz w:val="28"/>
          <w:szCs w:val="28"/>
          <w:lang w:val="pt-PT"/>
        </w:rPr>
      </w:pPr>
      <w:r w:rsidRPr="007E2F26">
        <w:rPr>
          <w:rFonts w:ascii="Times New Roman" w:hAnsi="Times New Roman" w:cs="Times New Roman"/>
          <w:b/>
          <w:bCs/>
          <w:color w:val="000000"/>
          <w:sz w:val="28"/>
          <w:szCs w:val="28"/>
          <w:lang w:val="pt-PT"/>
        </w:rPr>
        <w:t>Considerações Éticas</w:t>
      </w:r>
    </w:p>
    <w:p w14:paraId="321DAC53" w14:textId="77777777" w:rsidR="00B10342" w:rsidRPr="007E2F26" w:rsidRDefault="00B10342" w:rsidP="00CB46A4">
      <w:pPr>
        <w:pStyle w:val="FirstParagraph"/>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O presente artigo desenvolve uma análise conceptual de uma estrutura do desenvolvimento informada pela implementação, e não investigação empírica envolvendo recolha directa de dados junto de participantes. Ainda assim, a sensibilidade ética permaneceu central, dada a ancoragem da proposta em práticas comunitariamente organizadas de desenvolvimento.</w:t>
      </w:r>
    </w:p>
    <w:p w14:paraId="3768C3E5" w14:textId="7776ABBC"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Procurou-se evitar romantização ou homogeneização conceptual das experiências da infância e dos sistemas de cuidado</w:t>
      </w:r>
      <w:r w:rsidR="002E04EA" w:rsidRPr="007E2F26">
        <w:rPr>
          <w:rFonts w:ascii="Times New Roman" w:hAnsi="Times New Roman" w:cs="Times New Roman"/>
          <w:color w:val="000000"/>
          <w:lang w:val="pt-PT"/>
        </w:rPr>
        <w:t>s</w:t>
      </w:r>
      <w:r w:rsidRPr="007E2F26">
        <w:rPr>
          <w:rFonts w:ascii="Times New Roman" w:hAnsi="Times New Roman" w:cs="Times New Roman"/>
          <w:color w:val="000000"/>
          <w:lang w:val="pt-PT"/>
        </w:rPr>
        <w:t>. A análise reconhece igualmente a diversidade existente entre contextos moçambicanos de desenvolvimento, não assumindo uniformidade conceptual entre comunidades ou contextos africanos mais amplos.</w:t>
      </w:r>
    </w:p>
    <w:p w14:paraId="62793340" w14:textId="77777777" w:rsidR="00B10342" w:rsidRPr="007E2F26" w:rsidRDefault="00B10342" w:rsidP="00CB46A4">
      <w:pPr>
        <w:pStyle w:val="Heading1"/>
        <w:spacing w:line="360" w:lineRule="auto"/>
        <w:jc w:val="both"/>
        <w:rPr>
          <w:rFonts w:ascii="Times New Roman" w:hAnsi="Times New Roman" w:cs="Times New Roman"/>
          <w:b/>
          <w:bCs/>
          <w:color w:val="000000"/>
          <w:sz w:val="32"/>
          <w:szCs w:val="32"/>
          <w:lang w:val="pt-PT"/>
        </w:rPr>
      </w:pPr>
      <w:bookmarkStart w:id="12" w:name="resultados"/>
      <w:bookmarkEnd w:id="8"/>
      <w:r w:rsidRPr="007E2F26">
        <w:rPr>
          <w:rFonts w:ascii="Times New Roman" w:hAnsi="Times New Roman" w:cs="Times New Roman"/>
          <w:b/>
          <w:bCs/>
          <w:color w:val="000000"/>
          <w:sz w:val="32"/>
          <w:szCs w:val="32"/>
          <w:lang w:val="pt-PT"/>
        </w:rPr>
        <w:lastRenderedPageBreak/>
        <w:t>Resultados</w:t>
      </w:r>
    </w:p>
    <w:p w14:paraId="5EB00EDE" w14:textId="3A9065AD" w:rsidR="00B10342" w:rsidRPr="007E2F26" w:rsidRDefault="00B10342" w:rsidP="00CB46A4">
      <w:pPr>
        <w:pStyle w:val="Heading2"/>
        <w:spacing w:line="360" w:lineRule="auto"/>
        <w:jc w:val="both"/>
        <w:rPr>
          <w:rFonts w:ascii="Times New Roman" w:hAnsi="Times New Roman" w:cs="Times New Roman"/>
          <w:b/>
          <w:bCs/>
          <w:color w:val="000000"/>
          <w:sz w:val="28"/>
          <w:szCs w:val="28"/>
          <w:lang w:val="pt-PT"/>
        </w:rPr>
      </w:pPr>
      <w:bookmarkStart w:id="13" w:name="Xa1d7e54d898ae69e410a59be85524d14725bbcf"/>
      <w:r w:rsidRPr="007E2F26">
        <w:rPr>
          <w:rFonts w:ascii="Times New Roman" w:hAnsi="Times New Roman" w:cs="Times New Roman"/>
          <w:b/>
          <w:bCs/>
          <w:color w:val="000000"/>
          <w:sz w:val="28"/>
          <w:szCs w:val="28"/>
          <w:lang w:val="pt-PT"/>
        </w:rPr>
        <w:t>Ecologias Relacionais de Cuidado</w:t>
      </w:r>
      <w:r w:rsidR="002E04EA" w:rsidRPr="007E2F26">
        <w:rPr>
          <w:rFonts w:ascii="Times New Roman" w:hAnsi="Times New Roman" w:cs="Times New Roman"/>
          <w:b/>
          <w:bCs/>
          <w:color w:val="000000"/>
          <w:sz w:val="28"/>
          <w:szCs w:val="28"/>
          <w:lang w:val="pt-PT"/>
        </w:rPr>
        <w:t>s</w:t>
      </w:r>
      <w:r w:rsidRPr="007E2F26">
        <w:rPr>
          <w:rFonts w:ascii="Times New Roman" w:hAnsi="Times New Roman" w:cs="Times New Roman"/>
          <w:b/>
          <w:bCs/>
          <w:color w:val="000000"/>
          <w:sz w:val="28"/>
          <w:szCs w:val="28"/>
          <w:lang w:val="pt-PT"/>
        </w:rPr>
        <w:t xml:space="preserve"> enquanto Ambientes do Desenvolvimento</w:t>
      </w:r>
    </w:p>
    <w:p w14:paraId="233734B7" w14:textId="3A6AF3A0" w:rsidR="00B10342" w:rsidRPr="007E2F26" w:rsidRDefault="00B10342" w:rsidP="00CB46A4">
      <w:pPr>
        <w:pStyle w:val="FirstParagraph"/>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A análise sugere que a Estrutura Ubuntu de Desenvolvimento da Primeira Infância (DPI) conceptualiza o desenvolvimento infantil como emergente de ecologias relacionais de cuidado</w:t>
      </w:r>
      <w:r w:rsidR="002E04EA" w:rsidRPr="007E2F26">
        <w:rPr>
          <w:rFonts w:ascii="Times New Roman" w:hAnsi="Times New Roman" w:cs="Times New Roman"/>
          <w:color w:val="000000"/>
          <w:lang w:val="pt-PT"/>
        </w:rPr>
        <w:t>s</w:t>
      </w:r>
      <w:r w:rsidRPr="007E2F26">
        <w:rPr>
          <w:rFonts w:ascii="Times New Roman" w:hAnsi="Times New Roman" w:cs="Times New Roman"/>
          <w:color w:val="000000"/>
          <w:lang w:val="pt-PT"/>
        </w:rPr>
        <w:t>, no interior das quais</w:t>
      </w:r>
      <w:r w:rsidR="002E04EA" w:rsidRPr="007E2F26">
        <w:rPr>
          <w:rFonts w:ascii="Times New Roman" w:hAnsi="Times New Roman" w:cs="Times New Roman"/>
          <w:color w:val="000000"/>
          <w:lang w:val="pt-PT"/>
        </w:rPr>
        <w:t xml:space="preserve"> o</w:t>
      </w:r>
      <w:r w:rsidRPr="007E2F26">
        <w:rPr>
          <w:rFonts w:ascii="Times New Roman" w:hAnsi="Times New Roman" w:cs="Times New Roman"/>
          <w:color w:val="000000"/>
          <w:lang w:val="pt-PT"/>
        </w:rPr>
        <w:t xml:space="preserve"> bem-estar, participação e apoio ao desenvolvimento são socialmente distribuídos, e não institucionalmente circunscritos. Em vez de situar o desenvolvimento predominantemente em ambientes educativos formais ou em trajectórias estritamente individualizadas, a estrutura posiciona a criança no interior de mundos relacionais interdependentes, envolvendo cuidadores, irmãos, redes familiares alargadas, facilitadores, vizinhança e participação comunitária mais ampla.</w:t>
      </w:r>
    </w:p>
    <w:p w14:paraId="17EE10B2" w14:textId="06010492"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Nesta formulação, o desenvolvimento é compreendido não apenas enquanto progressão individual através de marcos desenvolvimentais, mas enquanto participação em sistemas socialmente organizados de cuidado</w:t>
      </w:r>
      <w:r w:rsidR="002E04EA"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através dos quais pertença, reciprocidade, identidade e responsabilidade social são continuamente cultivadas.</w:t>
      </w:r>
    </w:p>
    <w:p w14:paraId="230349B1" w14:textId="1DD2AE68"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 xml:space="preserve">Tal orientação estabelece forte consonância com a Teoria dos Sistemas Ecológicos de Bronfenbrenner, segundo a qual o desenvolvimento infantil emerge da interacção dinâmica entre a criança e os múltiplos sistemas ecológicos nos quais participa (Bronfenbrenner, 1979; Bronfenbrenner &amp; Morris, 2006). Contudo, no interior da Estrutura Ubuntu de DPI, esta interdependência ecológica é interpretada à luz de </w:t>
      </w:r>
      <w:r w:rsidRPr="007E2F26">
        <w:rPr>
          <w:rFonts w:ascii="Times New Roman" w:hAnsi="Times New Roman" w:cs="Times New Roman"/>
          <w:i/>
          <w:iCs/>
          <w:color w:val="000000"/>
          <w:lang w:val="pt-PT"/>
        </w:rPr>
        <w:t>saberes locais</w:t>
      </w:r>
      <w:r w:rsidRPr="007E2F26">
        <w:rPr>
          <w:rFonts w:ascii="Times New Roman" w:hAnsi="Times New Roman" w:cs="Times New Roman"/>
          <w:color w:val="000000"/>
          <w:lang w:val="pt-PT"/>
        </w:rPr>
        <w:t xml:space="preserve"> e </w:t>
      </w:r>
      <w:r w:rsidR="002E04EA" w:rsidRPr="007E2F26">
        <w:rPr>
          <w:rFonts w:ascii="Times New Roman" w:hAnsi="Times New Roman" w:cs="Times New Roman"/>
          <w:i/>
          <w:iCs/>
          <w:color w:val="000000"/>
          <w:lang w:val="pt-PT"/>
        </w:rPr>
        <w:t xml:space="preserve">formas </w:t>
      </w:r>
      <w:r w:rsidRPr="007E2F26">
        <w:rPr>
          <w:rFonts w:ascii="Times New Roman" w:hAnsi="Times New Roman" w:cs="Times New Roman"/>
          <w:i/>
          <w:iCs/>
          <w:color w:val="000000"/>
          <w:lang w:val="pt-PT"/>
        </w:rPr>
        <w:t>locais de saber e fazer</w:t>
      </w:r>
      <w:r w:rsidRPr="007E2F26">
        <w:rPr>
          <w:rFonts w:ascii="Times New Roman" w:hAnsi="Times New Roman" w:cs="Times New Roman"/>
          <w:color w:val="000000"/>
          <w:lang w:val="pt-PT"/>
        </w:rPr>
        <w:t>, através dos quais cuidado</w:t>
      </w:r>
      <w:r w:rsidR="002E04EA" w:rsidRPr="007E2F26">
        <w:rPr>
          <w:rFonts w:ascii="Times New Roman" w:hAnsi="Times New Roman" w:cs="Times New Roman"/>
          <w:color w:val="000000"/>
          <w:lang w:val="pt-PT"/>
        </w:rPr>
        <w:t>s</w:t>
      </w:r>
      <w:r w:rsidRPr="007E2F26">
        <w:rPr>
          <w:rFonts w:ascii="Times New Roman" w:hAnsi="Times New Roman" w:cs="Times New Roman"/>
          <w:color w:val="000000"/>
          <w:lang w:val="pt-PT"/>
        </w:rPr>
        <w:t>, participação e infância são vividos nas comunidades moçambicanas.</w:t>
      </w:r>
    </w:p>
    <w:p w14:paraId="502EDAA6" w14:textId="295E7FFA"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 xml:space="preserve">A aprendizagem, de igual modo, estende-se para além de ambientes pedagógicos predominantemente centrados em instituições. </w:t>
      </w:r>
      <w:r w:rsidR="001C5098" w:rsidRPr="007E2F26">
        <w:rPr>
          <w:rFonts w:ascii="Times New Roman" w:hAnsi="Times New Roman" w:cs="Times New Roman"/>
          <w:color w:val="000000"/>
          <w:lang w:val="pt-PT"/>
        </w:rPr>
        <w:t>A participação no desenvolvimento desenrola-se frequentemente através de narrativas orais, canções, observação, imitação, participação prática, interacção intergeracional e envolvimento na vida quotidiana da família e da comunidade, em consonância com investigações sobre aprendizagem informal e socialmente organizada (Rogoff et al., 2016).</w:t>
      </w:r>
      <w:r w:rsidRPr="007E2F26">
        <w:rPr>
          <w:rFonts w:ascii="Times New Roman" w:hAnsi="Times New Roman" w:cs="Times New Roman"/>
          <w:color w:val="000000"/>
          <w:lang w:val="pt-PT"/>
        </w:rPr>
        <w:t xml:space="preserve"> Esta orientação converge com literatura que sublinha a importância da participação orientada e das actividades culturalmente organizadas do desenvolvimento incorporadas na vida social quotidiana (Rogoff, 2003).</w:t>
      </w:r>
    </w:p>
    <w:p w14:paraId="3086F9DB" w14:textId="77777777"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lastRenderedPageBreak/>
        <w:t>Nesta perspectiva, a aprendizagem é conceptualizada menos enquanto aquisição cognitiva isolada e mais enquanto participação relacional através da qual crianças adquirem progressivamente pertença, responsabilidade, linguagem, conhecimento cultural e competências sociais no interior de ambientes significativos do desenvolvimento.</w:t>
      </w:r>
    </w:p>
    <w:p w14:paraId="452C2172" w14:textId="77777777" w:rsidR="00B10342" w:rsidRPr="007E2F26" w:rsidRDefault="00B10342" w:rsidP="00CB46A4">
      <w:pPr>
        <w:pStyle w:val="Heading2"/>
        <w:spacing w:line="360" w:lineRule="auto"/>
        <w:jc w:val="both"/>
        <w:rPr>
          <w:rFonts w:ascii="Times New Roman" w:hAnsi="Times New Roman" w:cs="Times New Roman"/>
          <w:b/>
          <w:bCs/>
          <w:color w:val="000000"/>
          <w:sz w:val="28"/>
          <w:szCs w:val="28"/>
          <w:lang w:val="pt-PT"/>
        </w:rPr>
      </w:pPr>
      <w:bookmarkStart w:id="14" w:name="X74a9c2cdaecd5f54bd5b1765949cef7ad0985b8"/>
      <w:bookmarkEnd w:id="13"/>
      <w:r w:rsidRPr="007E2F26">
        <w:rPr>
          <w:rFonts w:ascii="Times New Roman" w:hAnsi="Times New Roman" w:cs="Times New Roman"/>
          <w:b/>
          <w:bCs/>
          <w:color w:val="000000"/>
          <w:sz w:val="28"/>
          <w:szCs w:val="28"/>
          <w:lang w:val="pt-PT"/>
        </w:rPr>
        <w:t>Ubuntu enquanto Lógica Organizadora do Desenvolvimento</w:t>
      </w:r>
    </w:p>
    <w:p w14:paraId="490BF8EA" w14:textId="3542149C" w:rsidR="00B10342" w:rsidRPr="007E2F26" w:rsidRDefault="00B10342" w:rsidP="00CB46A4">
      <w:pPr>
        <w:pStyle w:val="FirstParagraph"/>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No interior da Estrutura Ubuntu de Desenvolvimento da Primeira Infância, o Ubuntu opera não apenas enquanto filosofia ética orientadora das práticas de cuidado</w:t>
      </w:r>
      <w:r w:rsidR="002E04EA" w:rsidRPr="007E2F26">
        <w:rPr>
          <w:rFonts w:ascii="Times New Roman" w:hAnsi="Times New Roman" w:cs="Times New Roman"/>
          <w:color w:val="000000"/>
          <w:lang w:val="pt-PT"/>
        </w:rPr>
        <w:t>s</w:t>
      </w:r>
      <w:r w:rsidRPr="007E2F26">
        <w:rPr>
          <w:rFonts w:ascii="Times New Roman" w:hAnsi="Times New Roman" w:cs="Times New Roman"/>
          <w:color w:val="000000"/>
          <w:lang w:val="pt-PT"/>
        </w:rPr>
        <w:t>, mas enquanto lógica organizadora do desenvolvimento através da qual relações desenvolvimentais são interpretadas e operacionalizadas. O bem-estar infantil é conceptualizado relacionalmente, sendo participação, reciprocidade, pertença, dignidade e responsabilidade social compreendidas como dimensões constitutivas do desenvolvimento, e não como resultados secundários.</w:t>
      </w:r>
    </w:p>
    <w:p w14:paraId="6B59156D" w14:textId="3A5EA6DF"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Nesta formulação, sistemas de cuidado</w:t>
      </w:r>
      <w:r w:rsidR="002E04EA"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e participação no desenvolvimento organizam-se através de ambientes socialmente distribuídos nos quais pertença, reciprocidade e bem-estar emergem da participação quotidiana na vida social.</w:t>
      </w:r>
    </w:p>
    <w:p w14:paraId="5397F06E" w14:textId="36799B0E"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Em contextos moçambicanos, os sistemas de cuidado</w:t>
      </w:r>
      <w:r w:rsidR="002E04EA"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são igualmente informados por </w:t>
      </w:r>
      <w:r w:rsidRPr="007E2F26">
        <w:rPr>
          <w:rFonts w:ascii="Times New Roman" w:hAnsi="Times New Roman" w:cs="Times New Roman"/>
          <w:i/>
          <w:iCs/>
          <w:color w:val="000000"/>
          <w:lang w:val="pt-PT"/>
        </w:rPr>
        <w:t>saberes locais</w:t>
      </w:r>
      <w:r w:rsidRPr="007E2F26">
        <w:rPr>
          <w:rFonts w:ascii="Times New Roman" w:hAnsi="Times New Roman" w:cs="Times New Roman"/>
          <w:color w:val="000000"/>
          <w:lang w:val="pt-PT"/>
        </w:rPr>
        <w:t xml:space="preserve"> e </w:t>
      </w:r>
      <w:r w:rsidR="002E04EA" w:rsidRPr="007E2F26">
        <w:rPr>
          <w:rFonts w:ascii="Times New Roman" w:hAnsi="Times New Roman" w:cs="Times New Roman"/>
          <w:i/>
          <w:iCs/>
          <w:color w:val="000000"/>
          <w:lang w:val="pt-PT"/>
        </w:rPr>
        <w:t xml:space="preserve">formas </w:t>
      </w:r>
      <w:r w:rsidRPr="007E2F26">
        <w:rPr>
          <w:rFonts w:ascii="Times New Roman" w:hAnsi="Times New Roman" w:cs="Times New Roman"/>
          <w:i/>
          <w:iCs/>
          <w:color w:val="000000"/>
          <w:lang w:val="pt-PT"/>
        </w:rPr>
        <w:t>locais de saber e fazer</w:t>
      </w:r>
      <w:r w:rsidRPr="007E2F26">
        <w:rPr>
          <w:rFonts w:ascii="Times New Roman" w:hAnsi="Times New Roman" w:cs="Times New Roman"/>
          <w:color w:val="000000"/>
          <w:lang w:val="pt-PT"/>
        </w:rPr>
        <w:t xml:space="preserve"> — sistemas localmente situados de conhecimento e organização prática da vida social através dos quais participação, cuidado</w:t>
      </w:r>
      <w:r w:rsidR="002E04EA" w:rsidRPr="007E2F26">
        <w:rPr>
          <w:rFonts w:ascii="Times New Roman" w:hAnsi="Times New Roman" w:cs="Times New Roman"/>
          <w:color w:val="000000"/>
          <w:lang w:val="pt-PT"/>
        </w:rPr>
        <w:t>s</w:t>
      </w:r>
      <w:r w:rsidRPr="007E2F26">
        <w:rPr>
          <w:rFonts w:ascii="Times New Roman" w:hAnsi="Times New Roman" w:cs="Times New Roman"/>
          <w:color w:val="000000"/>
          <w:lang w:val="pt-PT"/>
        </w:rPr>
        <w:t>, reciprocidade e responsabilidade pelo desenvolvimento são compreendidos e sustentados. Estas formas contextualmente situadas de conhecimento moldam a participação infantil em sistemas relacionais de cuidado</w:t>
      </w:r>
      <w:r w:rsidR="002E04EA" w:rsidRPr="007E2F26">
        <w:rPr>
          <w:rFonts w:ascii="Times New Roman" w:hAnsi="Times New Roman" w:cs="Times New Roman"/>
          <w:color w:val="000000"/>
          <w:lang w:val="pt-PT"/>
        </w:rPr>
        <w:t>s</w:t>
      </w:r>
      <w:r w:rsidRPr="007E2F26">
        <w:rPr>
          <w:rFonts w:ascii="Times New Roman" w:hAnsi="Times New Roman" w:cs="Times New Roman"/>
          <w:color w:val="000000"/>
          <w:lang w:val="pt-PT"/>
        </w:rPr>
        <w:t>, bem como os modos através dos quais expectativas desenvolvimentais são comunicadas, negociadas e reproduzidas entre gerações.</w:t>
      </w:r>
    </w:p>
    <w:p w14:paraId="06EF934A" w14:textId="53725C79"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Neste enquadramento, o Ubuntu adquire significado desenvolvimental através de sistemas localmente situados de cuidado</w:t>
      </w:r>
      <w:r w:rsidR="002E04EA"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e vida social, em vez de operar como princípio filosófico abstracto desligado das realidades quotidianas.</w:t>
      </w:r>
    </w:p>
    <w:p w14:paraId="2FF243DE" w14:textId="723E48AA"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Importa igualmente sublinhar que o Ubuntu não é mobilizado enquanto estrutura explicativa culturalmente fixa, nem presumido como operando uniformemente entre contextos moçambicanos ou africanos mais amplos. O seu significado desenvolvimental é antes interpretado através de sistemas localmente situados de cuidado</w:t>
      </w:r>
      <w:r w:rsidR="002E04EA"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informados por </w:t>
      </w:r>
      <w:r w:rsidRPr="007E2F26">
        <w:rPr>
          <w:rFonts w:ascii="Times New Roman" w:hAnsi="Times New Roman" w:cs="Times New Roman"/>
          <w:i/>
          <w:iCs/>
          <w:color w:val="000000"/>
          <w:lang w:val="pt-PT"/>
        </w:rPr>
        <w:t>saberes locais</w:t>
      </w:r>
      <w:r w:rsidRPr="007E2F26">
        <w:rPr>
          <w:rFonts w:ascii="Times New Roman" w:hAnsi="Times New Roman" w:cs="Times New Roman"/>
          <w:color w:val="000000"/>
          <w:lang w:val="pt-PT"/>
        </w:rPr>
        <w:t xml:space="preserve"> </w:t>
      </w:r>
      <w:r w:rsidRPr="007E2F26">
        <w:rPr>
          <w:rFonts w:ascii="Times New Roman" w:hAnsi="Times New Roman" w:cs="Times New Roman"/>
          <w:color w:val="000000"/>
          <w:lang w:val="pt-PT"/>
        </w:rPr>
        <w:lastRenderedPageBreak/>
        <w:t xml:space="preserve">e </w:t>
      </w:r>
      <w:r w:rsidR="002E04EA" w:rsidRPr="007E2F26">
        <w:rPr>
          <w:rFonts w:ascii="Times New Roman" w:hAnsi="Times New Roman" w:cs="Times New Roman"/>
          <w:i/>
          <w:iCs/>
          <w:color w:val="000000"/>
          <w:lang w:val="pt-PT"/>
        </w:rPr>
        <w:t xml:space="preserve">formas </w:t>
      </w:r>
      <w:r w:rsidRPr="007E2F26">
        <w:rPr>
          <w:rFonts w:ascii="Times New Roman" w:hAnsi="Times New Roman" w:cs="Times New Roman"/>
          <w:i/>
          <w:iCs/>
          <w:color w:val="000000"/>
          <w:lang w:val="pt-PT"/>
        </w:rPr>
        <w:t>locais de saber e fazer</w:t>
      </w:r>
      <w:r w:rsidRPr="007E2F26">
        <w:rPr>
          <w:rFonts w:ascii="Times New Roman" w:hAnsi="Times New Roman" w:cs="Times New Roman"/>
          <w:color w:val="000000"/>
          <w:lang w:val="pt-PT"/>
        </w:rPr>
        <w:t>, reconhecendo a diversidade significativa existente entre experiências da infância, expectativas sociais e práticas comunitárias. Esta distinção permanece analiticamente relevante, evitando homogeneização conceptual ao mesmo tempo que reconhece a importância desenvolvimental da relacionalidade no interior de sistemas localmente constituídos de cuidado</w:t>
      </w:r>
      <w:r w:rsidR="00F24DB9"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(Twum-Danso Imoh, 2016).</w:t>
      </w:r>
    </w:p>
    <w:p w14:paraId="7C226826" w14:textId="77777777" w:rsidR="00B10342" w:rsidRPr="007E2F26" w:rsidRDefault="00B10342" w:rsidP="00CB46A4">
      <w:pPr>
        <w:pStyle w:val="Heading2"/>
        <w:spacing w:line="360" w:lineRule="auto"/>
        <w:jc w:val="both"/>
        <w:rPr>
          <w:rFonts w:ascii="Times New Roman" w:hAnsi="Times New Roman" w:cs="Times New Roman"/>
          <w:b/>
          <w:bCs/>
          <w:color w:val="000000"/>
          <w:sz w:val="28"/>
          <w:szCs w:val="28"/>
          <w:lang w:val="pt-PT"/>
        </w:rPr>
      </w:pPr>
      <w:bookmarkStart w:id="15" w:name="Xac184f51c8bb29ed47bef675f257dee22bdf2bf"/>
      <w:bookmarkEnd w:id="14"/>
      <w:r w:rsidRPr="007E2F26">
        <w:rPr>
          <w:rFonts w:ascii="Times New Roman" w:hAnsi="Times New Roman" w:cs="Times New Roman"/>
          <w:b/>
          <w:bCs/>
          <w:color w:val="000000"/>
          <w:sz w:val="28"/>
          <w:szCs w:val="28"/>
          <w:lang w:val="pt-PT"/>
        </w:rPr>
        <w:t>Interpretação Selectiva de Tradições do Desenvolvimento e da Pedagogia</w:t>
      </w:r>
    </w:p>
    <w:p w14:paraId="4F02651A" w14:textId="77777777" w:rsidR="00B10342" w:rsidRPr="007E2F26" w:rsidRDefault="00B10342" w:rsidP="00CB46A4">
      <w:pPr>
        <w:pStyle w:val="FirstParagraph"/>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Um dos aspectos centrais da Estrutura Ubuntu de Desenvolvimento da Primeira Infância reside no seu envolvimento selectivo com tradições internacionalmente reconhecidas do desenvolvimento e da pedagogia. Em vez de tratar a ciência do desenvolvimento como universalmente transferível — ou integralmente inadequada aos contextos moçambicanos — a estrutura mobiliza referenciais teóricos consolidados de forma selectiva e interpretativa, examinando a sua relevância à luz de realidades localmente significativas do desenvolvimento.</w:t>
      </w:r>
    </w:p>
    <w:p w14:paraId="29ED747B" w14:textId="77777777"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A perspectiva ecológica de Bronfenbrenner oferece enquadramento conceptual para compreender o desenvolvimento infantil no interior de sistemas relacionais interdependentes, enquanto perspectivas socioculturais inspiradas em Vygotsky reforçam atenção à aprendizagem através da participação, interacção orientada, observação e actividade desenvolvimental socialmente mediada (Vygotsky, 1978). Contributos provenientes da teoria da vinculação, do desenvolvimento psicossocial e da aprendizagem social fortalecem igualmente compreensão sobre bem-estar socioemocional, segurança relacional, formação identitária e aprendizagem por observação e modelagem.</w:t>
      </w:r>
    </w:p>
    <w:p w14:paraId="159A6AF4" w14:textId="77777777"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Tradições pedagógicas como Montessori, Reggio Emilia e educação Waldorf são igualmente mobilizadas de forma selectiva, e não transferidas de modo acrítico. A sua relevância reside menos na replicação institucional e mais nos contributos que oferecem para aprendizagem participativa, envolvimento sensorial, criatividade, agência infantil, observação e formas relacionais de participação educativa.</w:t>
      </w:r>
    </w:p>
    <w:p w14:paraId="6005C511" w14:textId="5A76A721"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 xml:space="preserve">Ainda assim, estas orientações pedagógicas permanecem reinterpretadas através de </w:t>
      </w:r>
      <w:r w:rsidRPr="007E2F26">
        <w:rPr>
          <w:rFonts w:ascii="Times New Roman" w:hAnsi="Times New Roman" w:cs="Times New Roman"/>
          <w:i/>
          <w:iCs/>
          <w:color w:val="000000"/>
          <w:lang w:val="pt-PT"/>
        </w:rPr>
        <w:t>saberes locais</w:t>
      </w:r>
      <w:r w:rsidRPr="007E2F26">
        <w:rPr>
          <w:rFonts w:ascii="Times New Roman" w:hAnsi="Times New Roman" w:cs="Times New Roman"/>
          <w:color w:val="000000"/>
          <w:lang w:val="pt-PT"/>
        </w:rPr>
        <w:t xml:space="preserve"> e </w:t>
      </w:r>
      <w:r w:rsidR="00F24DB9" w:rsidRPr="007E2F26">
        <w:rPr>
          <w:rFonts w:ascii="Times New Roman" w:hAnsi="Times New Roman" w:cs="Times New Roman"/>
          <w:i/>
          <w:iCs/>
          <w:color w:val="000000"/>
          <w:lang w:val="pt-PT"/>
        </w:rPr>
        <w:t xml:space="preserve">formas </w:t>
      </w:r>
      <w:r w:rsidRPr="007E2F26">
        <w:rPr>
          <w:rFonts w:ascii="Times New Roman" w:hAnsi="Times New Roman" w:cs="Times New Roman"/>
          <w:i/>
          <w:iCs/>
          <w:color w:val="000000"/>
          <w:lang w:val="pt-PT"/>
        </w:rPr>
        <w:t>locais de saber e fazer</w:t>
      </w:r>
      <w:r w:rsidRPr="007E2F26">
        <w:rPr>
          <w:rFonts w:ascii="Times New Roman" w:hAnsi="Times New Roman" w:cs="Times New Roman"/>
          <w:color w:val="000000"/>
          <w:lang w:val="pt-PT"/>
        </w:rPr>
        <w:t>, assegurando que a prática do desenvolvimento permaneça ancorada em realidades multilingues, sistemas relacionais de cuidado</w:t>
      </w:r>
      <w:r w:rsidR="00F24DB9"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e formas </w:t>
      </w:r>
      <w:r w:rsidRPr="007E2F26">
        <w:rPr>
          <w:rFonts w:ascii="Times New Roman" w:hAnsi="Times New Roman" w:cs="Times New Roman"/>
          <w:color w:val="000000"/>
          <w:lang w:val="pt-PT"/>
        </w:rPr>
        <w:lastRenderedPageBreak/>
        <w:t>comunitariamente organizadas de participação, em vez de reproduzir estruturas educativas externamente impostas.</w:t>
      </w:r>
    </w:p>
    <w:p w14:paraId="58660061" w14:textId="4C3C38C5"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Esta orientação selectiva converge igualmente com literatura sobre pedagogias culturalmente relevantes e culturalmente sustentadoras, que enfatiza abordagens educativas enraizadas nas realidades vividas dos aprendentes e nas suas formas socioculturais de participação (Ladson-Billings, 1995; Paris, 2012). Nesta perspectiva, responsividade ao desenvolvimento ultrapassa adaptação contextual restrita, implicando atenção à forma como cuidado</w:t>
      </w:r>
      <w:r w:rsidR="00F24DB9" w:rsidRPr="007E2F26">
        <w:rPr>
          <w:rFonts w:ascii="Times New Roman" w:hAnsi="Times New Roman" w:cs="Times New Roman"/>
          <w:color w:val="000000"/>
          <w:lang w:val="pt-PT"/>
        </w:rPr>
        <w:t>s</w:t>
      </w:r>
      <w:r w:rsidRPr="007E2F26">
        <w:rPr>
          <w:rFonts w:ascii="Times New Roman" w:hAnsi="Times New Roman" w:cs="Times New Roman"/>
          <w:color w:val="000000"/>
          <w:lang w:val="pt-PT"/>
        </w:rPr>
        <w:t>, pertença, participação e infância são organizados nos mundos sociais quotidianos.</w:t>
      </w:r>
    </w:p>
    <w:p w14:paraId="6D924338" w14:textId="77777777" w:rsidR="00B10342" w:rsidRPr="007E2F26" w:rsidRDefault="00B10342" w:rsidP="00CB46A4">
      <w:pPr>
        <w:pStyle w:val="Heading1"/>
        <w:spacing w:line="360" w:lineRule="auto"/>
        <w:jc w:val="both"/>
        <w:rPr>
          <w:rFonts w:ascii="Times New Roman" w:hAnsi="Times New Roman" w:cs="Times New Roman"/>
          <w:b/>
          <w:bCs/>
          <w:color w:val="000000"/>
          <w:sz w:val="32"/>
          <w:szCs w:val="32"/>
          <w:lang w:val="pt-PT"/>
        </w:rPr>
      </w:pPr>
      <w:bookmarkStart w:id="16" w:name="discussão"/>
      <w:bookmarkEnd w:id="12"/>
      <w:bookmarkEnd w:id="15"/>
      <w:r w:rsidRPr="007E2F26">
        <w:rPr>
          <w:rFonts w:ascii="Times New Roman" w:hAnsi="Times New Roman" w:cs="Times New Roman"/>
          <w:b/>
          <w:bCs/>
          <w:color w:val="000000"/>
          <w:sz w:val="32"/>
          <w:szCs w:val="32"/>
          <w:lang w:val="pt-PT"/>
        </w:rPr>
        <w:t>Discussão</w:t>
      </w:r>
    </w:p>
    <w:p w14:paraId="1F29BDA5" w14:textId="58FA1BCC" w:rsidR="00B10342" w:rsidRPr="007E2F26" w:rsidRDefault="00B10342" w:rsidP="00CB46A4">
      <w:pPr>
        <w:pStyle w:val="FirstParagraph"/>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A análise sugere que a Estrutura Ubuntu de Desenvolvimento da Primeira Infância (DPI) oferece um contributo teoricamente fundamentado para debates contemporâneos sobre desenvolvimento infantil ao reconsiderar a forma como o apoio ao desenvolvimento poderá ser conceptualizado no interior de mundos sociais de cuidado</w:t>
      </w:r>
      <w:r w:rsidR="00F24DB9"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Embora paradigmas dominantes do desenvolvimento tenham contribuído significativamente para aprofundar </w:t>
      </w:r>
      <w:r w:rsidR="00F24DB9" w:rsidRPr="007E2F26">
        <w:rPr>
          <w:rFonts w:ascii="Times New Roman" w:hAnsi="Times New Roman" w:cs="Times New Roman"/>
          <w:color w:val="000000"/>
          <w:lang w:val="pt-PT"/>
        </w:rPr>
        <w:t xml:space="preserve">a </w:t>
      </w:r>
      <w:r w:rsidRPr="007E2F26">
        <w:rPr>
          <w:rFonts w:ascii="Times New Roman" w:hAnsi="Times New Roman" w:cs="Times New Roman"/>
          <w:color w:val="000000"/>
          <w:lang w:val="pt-PT"/>
        </w:rPr>
        <w:t>compreensão sobre aprendizagem e bem-estar infantil, muitos permanecem implicitamente estruturados por pressupostos emergentes de contextos institucionalizados, individualizados e comparativamente favorecidos em termos de recursos. A Estrutura Ubuntu de DPI convida, assim, à reconsideração de como bem-estar infantil, participação e apoio ao desenvolvimento poderão ser compreendidos quando sistemas relacionais de cuidado</w:t>
      </w:r>
      <w:r w:rsidR="00F24DB9" w:rsidRPr="007E2F26">
        <w:rPr>
          <w:rFonts w:ascii="Times New Roman" w:hAnsi="Times New Roman" w:cs="Times New Roman"/>
          <w:color w:val="000000"/>
          <w:lang w:val="pt-PT"/>
        </w:rPr>
        <w:t>s</w:t>
      </w:r>
      <w:r w:rsidRPr="007E2F26">
        <w:rPr>
          <w:rFonts w:ascii="Times New Roman" w:hAnsi="Times New Roman" w:cs="Times New Roman"/>
          <w:color w:val="000000"/>
          <w:lang w:val="pt-PT"/>
        </w:rPr>
        <w:t>, participação social e responsabilidade colectivamente distribuída passam a ocupar posição organizadora central da infância, em consonância com compreensões ecológicas do desenvolvimento assentes na interacção recíproca entre crianças e os seus ambientes do desenvolvimento (Bronfenbrenner &amp; Morris, 2006).</w:t>
      </w:r>
    </w:p>
    <w:p w14:paraId="1F5D37FD" w14:textId="77777777"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 xml:space="preserve">Um dos contributos centrais da proposta reside no reposicionamento do Ubuntu para além do domínio ético, situando-o enquanto lógica organizadora do desenvolvimento através da qual relações desenvolvimentais são interpretadas e vividas. Nesta perspectiva, o apoio ao desenvolvimento não é compreendido exclusivamente através de marcos desenvolvimentais, intervenções institucionalmente centradas ou competências individuais, mas através da participação em ambientes desenvolvimentais socialmente incorporados, nos quais pertença, </w:t>
      </w:r>
      <w:r w:rsidRPr="007E2F26">
        <w:rPr>
          <w:rFonts w:ascii="Times New Roman" w:hAnsi="Times New Roman" w:cs="Times New Roman"/>
          <w:color w:val="000000"/>
          <w:lang w:val="pt-PT"/>
        </w:rPr>
        <w:lastRenderedPageBreak/>
        <w:t>reciprocidade, dignidade e responsabilidade colectiva se tornam dimensões constitutivas da infância.</w:t>
      </w:r>
    </w:p>
    <w:p w14:paraId="56399E9B" w14:textId="2C3FCAD3"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Tal formulação amplia pressupostos dominantes do desenvolvimento ao posicionar participação social e pertença relacional não como influências periféricas, mas como condições fundamentais do próprio desenvolvimento. Nesta estrutura, sistemas de cuidado</w:t>
      </w:r>
      <w:r w:rsidR="00F24DB9"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e participação no desenvolvimento são conceptualizados através de ambientes relacionais socialmente distribuídos, nos quais pertença, reciprocidade e bem-estar emergem de formas quotidianas de participação social.</w:t>
      </w:r>
    </w:p>
    <w:p w14:paraId="7B8674E6" w14:textId="14F6831E"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 xml:space="preserve">Importa sublinhar que o Ubuntu não opera, nesta proposta, enquanto categoria filosófica abstracta dissociada das realidades sociais. O seu significado desenvolvimental é interpretado através de </w:t>
      </w:r>
      <w:r w:rsidRPr="007E2F26">
        <w:rPr>
          <w:rFonts w:ascii="Times New Roman" w:hAnsi="Times New Roman" w:cs="Times New Roman"/>
          <w:i/>
          <w:iCs/>
          <w:color w:val="000000"/>
          <w:lang w:val="pt-PT"/>
        </w:rPr>
        <w:t>saberes locais</w:t>
      </w:r>
      <w:r w:rsidRPr="007E2F26">
        <w:rPr>
          <w:rFonts w:ascii="Times New Roman" w:hAnsi="Times New Roman" w:cs="Times New Roman"/>
          <w:color w:val="000000"/>
          <w:lang w:val="pt-PT"/>
        </w:rPr>
        <w:t xml:space="preserve"> e </w:t>
      </w:r>
      <w:r w:rsidR="00F24DB9" w:rsidRPr="007E2F26">
        <w:rPr>
          <w:rFonts w:ascii="Times New Roman" w:hAnsi="Times New Roman" w:cs="Times New Roman"/>
          <w:i/>
          <w:iCs/>
          <w:color w:val="000000"/>
          <w:lang w:val="pt-PT"/>
        </w:rPr>
        <w:t xml:space="preserve">formas </w:t>
      </w:r>
      <w:r w:rsidRPr="007E2F26">
        <w:rPr>
          <w:rFonts w:ascii="Times New Roman" w:hAnsi="Times New Roman" w:cs="Times New Roman"/>
          <w:i/>
          <w:iCs/>
          <w:color w:val="000000"/>
          <w:lang w:val="pt-PT"/>
        </w:rPr>
        <w:t>locais de saber e fazer</w:t>
      </w:r>
      <w:r w:rsidRPr="007E2F26">
        <w:rPr>
          <w:rFonts w:ascii="Times New Roman" w:hAnsi="Times New Roman" w:cs="Times New Roman"/>
          <w:color w:val="000000"/>
          <w:lang w:val="pt-PT"/>
        </w:rPr>
        <w:t xml:space="preserve"> — sistemas localmente constituídos de conhecimento e organização prática da vida social através dos quais cuidado</w:t>
      </w:r>
      <w:r w:rsidR="00F24DB9" w:rsidRPr="007E2F26">
        <w:rPr>
          <w:rFonts w:ascii="Times New Roman" w:hAnsi="Times New Roman" w:cs="Times New Roman"/>
          <w:color w:val="000000"/>
          <w:lang w:val="pt-PT"/>
        </w:rPr>
        <w:t>s</w:t>
      </w:r>
      <w:r w:rsidRPr="007E2F26">
        <w:rPr>
          <w:rFonts w:ascii="Times New Roman" w:hAnsi="Times New Roman" w:cs="Times New Roman"/>
          <w:color w:val="000000"/>
          <w:lang w:val="pt-PT"/>
        </w:rPr>
        <w:t>, participação, reciprocidade e responsabilidade desenvolvimental são vividos nas comunidades moçambicanas. Nesta perspectiva, o apoio ao desenvolvimento torna-se inteligível não apenas através de pressupostos externamente produzidos sobre desenvolvimento infantil, mas também através de sistemas relacionais de cuidado</w:t>
      </w:r>
      <w:r w:rsidR="00F24DB9"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inscritos na vida social quotidiana. Esta distinção permanece analiticamente importante, evitando romantização ou homogeneização conceptual, ao mesmo tempo que reconhece o valor epistemológico de ambientes localmente constituídos do desenvolvimento.</w:t>
      </w:r>
    </w:p>
    <w:p w14:paraId="703F9E87" w14:textId="60F6BDEE"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A análise sugere igualmente que práticas do desenvolvimento culturalmente responsivas não implicam rejeição da ciência do desenvolvimento internacionalmente reconhecida. A literatura contemporânea reconhece crescentemente a importância do</w:t>
      </w:r>
      <w:r w:rsidR="00F24DB9"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cuidado</w:t>
      </w:r>
      <w:r w:rsidR="00F24DB9"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responsivo</w:t>
      </w:r>
      <w:r w:rsidR="00F24DB9"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da participação relacional, do bem-estar socioemocional e dos ambientes precoces do desenvolvimento na configuração de trajectórias desenvolvimentais de longo prazo (Black et al., 2017; Jeong et al., 2021). </w:t>
      </w:r>
      <w:r w:rsidR="001C5098" w:rsidRPr="007E2F26">
        <w:rPr>
          <w:rFonts w:ascii="Times New Roman" w:hAnsi="Times New Roman" w:cs="Times New Roman"/>
          <w:color w:val="000000"/>
          <w:lang w:val="pt-PT"/>
        </w:rPr>
        <w:t>Neste sentido, a Estrutura Ubuntu de DPI ilustra como tradições internacionalmente reconhecidas do desenvolvimento e da pedagogia poderão ser reinterpretadas selectivamente à luz de realidades localmente significativas, em vez de transferidas de forma acrítica entre contextos (Bornstein, 2017).</w:t>
      </w:r>
      <w:r w:rsidRPr="007E2F26">
        <w:rPr>
          <w:rFonts w:ascii="Times New Roman" w:hAnsi="Times New Roman" w:cs="Times New Roman"/>
          <w:color w:val="000000"/>
          <w:lang w:val="pt-PT"/>
        </w:rPr>
        <w:t xml:space="preserve"> Esta orientação interpretativa converge igualmente com críticas consolidadas a modelos universalizantes de Desenvolvimento da Primeira Infância </w:t>
      </w:r>
      <w:r w:rsidRPr="007E2F26">
        <w:rPr>
          <w:rFonts w:ascii="Times New Roman" w:hAnsi="Times New Roman" w:cs="Times New Roman"/>
          <w:color w:val="000000"/>
          <w:lang w:val="pt-PT"/>
        </w:rPr>
        <w:lastRenderedPageBreak/>
        <w:t>que frequentemente subestimam diversidade sociocultural nos ambientes do desenvolvimento infantil (Penn, 2011).</w:t>
      </w:r>
    </w:p>
    <w:p w14:paraId="53B18E5D" w14:textId="6E13B88B"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A perspectiva ecológica de Bronfenbrenner, tradições socioculturais da aprendizagem, teoria psicossocial, teoria da vinculação e perspectivas da aprendizagem social oferecem contributos relevantes quando reinterpretados através de sistemas relacionais de cuidado</w:t>
      </w:r>
      <w:r w:rsidR="00F24DB9" w:rsidRPr="007E2F26">
        <w:rPr>
          <w:rFonts w:ascii="Times New Roman" w:hAnsi="Times New Roman" w:cs="Times New Roman"/>
          <w:color w:val="000000"/>
          <w:lang w:val="pt-PT"/>
        </w:rPr>
        <w:t>s</w:t>
      </w:r>
      <w:r w:rsidRPr="007E2F26">
        <w:rPr>
          <w:rFonts w:ascii="Times New Roman" w:hAnsi="Times New Roman" w:cs="Times New Roman"/>
          <w:color w:val="000000"/>
          <w:lang w:val="pt-PT"/>
        </w:rPr>
        <w:t>, em vez de simplesmente transferidos entre contextos. Tal posicionamento converge igualmente com literatura que enfatiza trajectórias do desenvolvimento culturalmente situadas e compreensões contextualmente ancoradas da infância em ambientes africanos (Serpell &amp; Marfo, 2014). De igual modo, Serpell (2022) sublinha a importância de compreender aprendizagem, participação e competência social no interior de ambientes localmente significativos do desenvolvimento.</w:t>
      </w:r>
    </w:p>
    <w:p w14:paraId="5DAF6039" w14:textId="5010DF7A"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 xml:space="preserve">Nesta linha, tradições pedagógicas como Montessori, Reggio Emilia, educação Waldorf e o Quadro de Cuidados </w:t>
      </w:r>
      <w:r w:rsidR="00F24DB9" w:rsidRPr="007E2F26">
        <w:rPr>
          <w:rFonts w:ascii="Times New Roman" w:hAnsi="Times New Roman" w:cs="Times New Roman"/>
          <w:color w:val="000000"/>
          <w:lang w:val="pt-PT"/>
        </w:rPr>
        <w:t xml:space="preserve">Afectivos </w:t>
      </w:r>
      <w:r w:rsidRPr="007E2F26">
        <w:rPr>
          <w:rFonts w:ascii="Times New Roman" w:hAnsi="Times New Roman" w:cs="Times New Roman"/>
          <w:color w:val="000000"/>
          <w:lang w:val="pt-PT"/>
        </w:rPr>
        <w:t>revelam particular relevância quando mobilizadas selectivamente para fortalecer aprendizagem participativa, observação, criatividade, envolvimento sensorial, participação relacional e cuidado</w:t>
      </w:r>
      <w:r w:rsidR="00F24DB9"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responsivo</w:t>
      </w:r>
      <w:r w:rsidR="00F24DB9" w:rsidRPr="007E2F26">
        <w:rPr>
          <w:rFonts w:ascii="Times New Roman" w:hAnsi="Times New Roman" w:cs="Times New Roman"/>
          <w:color w:val="000000"/>
          <w:lang w:val="pt-PT"/>
        </w:rPr>
        <w:t>s</w:t>
      </w:r>
      <w:r w:rsidRPr="007E2F26">
        <w:rPr>
          <w:rFonts w:ascii="Times New Roman" w:hAnsi="Times New Roman" w:cs="Times New Roman"/>
          <w:color w:val="000000"/>
          <w:lang w:val="pt-PT"/>
        </w:rPr>
        <w:t>, sem enfraquecer sistemas localmente constituídos de conhecimento e prática.</w:t>
      </w:r>
    </w:p>
    <w:p w14:paraId="2C0B4DC4" w14:textId="7FB9D4A6"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Estes resultados apresentam implicações mais amplas para debates relacionados com localização, ciência do desenvolvimento culturalmente responsiva e infâncias africanas. Esforços de localização têm frequentemente privilegiado adaptação contextual de intervenções concebidas externamente. A Estrutura Ubuntu de DPI sugere, em contrapartida, a possibilidade de teorizar apoio ao desenvolvimento a partir dos próprios sistemas localmente constituídos de cuidado</w:t>
      </w:r>
      <w:r w:rsidR="00F24DB9"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e participação social. Neste sentido, a proposta contribui não apenas para debates sobre localização, mas também para reconsiderações mais amplas acerca de como a própria teoria do desenvolvimento poderá emergir de sistemas socialmente incorporados de cuidado</w:t>
      </w:r>
      <w:r w:rsidR="00F24DB9"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e participação, e não exclusivamente de processos de adaptação.</w:t>
      </w:r>
    </w:p>
    <w:p w14:paraId="48B310A0" w14:textId="2C9CB605"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Tal orientação converge igualmente com literatura emergente que conceptualiza infância enquanto fenómeno relacionalmente constituído através de mundos sociais interdependentes de cuidado</w:t>
      </w:r>
      <w:r w:rsidR="00F24DB9" w:rsidRPr="007E2F26">
        <w:rPr>
          <w:rFonts w:ascii="Times New Roman" w:hAnsi="Times New Roman" w:cs="Times New Roman"/>
          <w:color w:val="000000"/>
          <w:lang w:val="pt-PT"/>
        </w:rPr>
        <w:t>s</w:t>
      </w:r>
      <w:r w:rsidRPr="007E2F26">
        <w:rPr>
          <w:rFonts w:ascii="Times New Roman" w:hAnsi="Times New Roman" w:cs="Times New Roman"/>
          <w:color w:val="000000"/>
          <w:lang w:val="pt-PT"/>
        </w:rPr>
        <w:t>, participação e pertença (Abebe &amp; Bessell, 2014).</w:t>
      </w:r>
    </w:p>
    <w:p w14:paraId="18919B5A" w14:textId="77777777" w:rsidR="00B10342" w:rsidRPr="007E2F26" w:rsidRDefault="00B10342" w:rsidP="00CB46A4">
      <w:pPr>
        <w:pStyle w:val="Heading2"/>
        <w:spacing w:line="360" w:lineRule="auto"/>
        <w:jc w:val="both"/>
        <w:rPr>
          <w:rFonts w:ascii="Times New Roman" w:hAnsi="Times New Roman" w:cs="Times New Roman"/>
          <w:b/>
          <w:bCs/>
          <w:color w:val="000000"/>
          <w:sz w:val="28"/>
          <w:szCs w:val="28"/>
          <w:lang w:val="pt-PT"/>
        </w:rPr>
      </w:pPr>
      <w:bookmarkStart w:id="17" w:name="limitações-e-investigação-futura"/>
      <w:bookmarkEnd w:id="16"/>
      <w:r w:rsidRPr="007E2F26">
        <w:rPr>
          <w:rFonts w:ascii="Times New Roman" w:hAnsi="Times New Roman" w:cs="Times New Roman"/>
          <w:b/>
          <w:bCs/>
          <w:color w:val="000000"/>
          <w:sz w:val="28"/>
          <w:szCs w:val="28"/>
          <w:lang w:val="pt-PT"/>
        </w:rPr>
        <w:lastRenderedPageBreak/>
        <w:t>Limitações e Investigação Futura</w:t>
      </w:r>
    </w:p>
    <w:p w14:paraId="25017B47" w14:textId="77777777" w:rsidR="00B10342" w:rsidRPr="007E2F26" w:rsidRDefault="00B10342" w:rsidP="00CB46A4">
      <w:pPr>
        <w:pStyle w:val="FirstParagraph"/>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Apesar dos contributos conceptuais apresentados, importa reconhecer diversas limitações. Em primeiro lugar, a estrutura permanece predominantemente conceptual e informada pela implementação, não tendo sido ainda submetida a investigação longitudinal sistemática de natureza empírica. Consequentemente, a presente análise deverá ser interpretada como teoricamente generativa, e não empiricamente confirmatória, oferecendo base para futuras investigações em diferentes contextos do desenvolvimento.</w:t>
      </w:r>
    </w:p>
    <w:p w14:paraId="44E31362" w14:textId="57FB2C0E"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Em segundo lugar, os sistemas de cuidado</w:t>
      </w:r>
      <w:r w:rsidR="00F24DB9"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existentes entre comunidades moçambicanas permanecem heterogéneos, exigindo atenção contínua à variação contextual e desencorajando pressupostos de uniformidade desenvolvimental. Em terceiro lugar, importa reconhecer que sistemas relacionais de cuidado</w:t>
      </w:r>
      <w:r w:rsidR="00F24DB9"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podem igualmente ser atravessados por desigualdades, exclusões e condições diferenciadas de cuidado</w:t>
      </w:r>
      <w:r w:rsidR="0019370D" w:rsidRPr="007E2F26">
        <w:rPr>
          <w:rFonts w:ascii="Times New Roman" w:hAnsi="Times New Roman" w:cs="Times New Roman"/>
          <w:color w:val="000000"/>
          <w:lang w:val="pt-PT"/>
        </w:rPr>
        <w:t>s</w:t>
      </w:r>
      <w:r w:rsidRPr="007E2F26">
        <w:rPr>
          <w:rFonts w:ascii="Times New Roman" w:hAnsi="Times New Roman" w:cs="Times New Roman"/>
          <w:color w:val="000000"/>
          <w:lang w:val="pt-PT"/>
        </w:rPr>
        <w:t>, exigindo atenção continuada à salvaguarda infantil, distribuição de responsabilidades de cuidado</w:t>
      </w:r>
      <w:r w:rsidR="0019370D"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e protecção do desenvolvimento das crianças.</w:t>
      </w:r>
    </w:p>
    <w:p w14:paraId="566B601B" w14:textId="325A3366"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Investigações futuras poderão, assim, examinar de que modo ecologias relacionais de cuidado</w:t>
      </w:r>
      <w:r w:rsidR="0019370D"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influenciam bem-estar socioemocional, participação, aprendizagem, desenvolvimento linguístico e prontidão escolar em contextos diversos. Estudos comparativos poderão igualmente aprofundar </w:t>
      </w:r>
      <w:r w:rsidR="0019370D" w:rsidRPr="007E2F26">
        <w:rPr>
          <w:rFonts w:ascii="Times New Roman" w:hAnsi="Times New Roman" w:cs="Times New Roman"/>
          <w:color w:val="000000"/>
          <w:lang w:val="pt-PT"/>
        </w:rPr>
        <w:t xml:space="preserve">a </w:t>
      </w:r>
      <w:r w:rsidRPr="007E2F26">
        <w:rPr>
          <w:rFonts w:ascii="Times New Roman" w:hAnsi="Times New Roman" w:cs="Times New Roman"/>
          <w:color w:val="000000"/>
          <w:lang w:val="pt-PT"/>
        </w:rPr>
        <w:t xml:space="preserve">compreensão sobre como </w:t>
      </w:r>
      <w:r w:rsidRPr="007E2F26">
        <w:rPr>
          <w:rFonts w:ascii="Times New Roman" w:hAnsi="Times New Roman" w:cs="Times New Roman"/>
          <w:i/>
          <w:iCs/>
          <w:color w:val="000000"/>
          <w:lang w:val="pt-PT"/>
        </w:rPr>
        <w:t>saberes locais</w:t>
      </w:r>
      <w:r w:rsidRPr="007E2F26">
        <w:rPr>
          <w:rFonts w:ascii="Times New Roman" w:hAnsi="Times New Roman" w:cs="Times New Roman"/>
          <w:color w:val="000000"/>
          <w:lang w:val="pt-PT"/>
        </w:rPr>
        <w:t xml:space="preserve"> e </w:t>
      </w:r>
      <w:r w:rsidR="0019370D" w:rsidRPr="007E2F26">
        <w:rPr>
          <w:rFonts w:ascii="Times New Roman" w:hAnsi="Times New Roman" w:cs="Times New Roman"/>
          <w:i/>
          <w:iCs/>
          <w:color w:val="000000"/>
          <w:lang w:val="pt-PT"/>
        </w:rPr>
        <w:t xml:space="preserve">formas </w:t>
      </w:r>
      <w:r w:rsidRPr="007E2F26">
        <w:rPr>
          <w:rFonts w:ascii="Times New Roman" w:hAnsi="Times New Roman" w:cs="Times New Roman"/>
          <w:i/>
          <w:iCs/>
          <w:color w:val="000000"/>
          <w:lang w:val="pt-PT"/>
        </w:rPr>
        <w:t>locais de saber e fazer</w:t>
      </w:r>
      <w:r w:rsidRPr="007E2F26">
        <w:rPr>
          <w:rFonts w:ascii="Times New Roman" w:hAnsi="Times New Roman" w:cs="Times New Roman"/>
          <w:color w:val="000000"/>
          <w:lang w:val="pt-PT"/>
        </w:rPr>
        <w:t xml:space="preserve"> influenciam </w:t>
      </w:r>
      <w:r w:rsidR="0019370D" w:rsidRPr="007E2F26">
        <w:rPr>
          <w:rFonts w:ascii="Times New Roman" w:hAnsi="Times New Roman" w:cs="Times New Roman"/>
          <w:color w:val="000000"/>
          <w:lang w:val="pt-PT"/>
        </w:rPr>
        <w:t xml:space="preserve">a </w:t>
      </w:r>
      <w:r w:rsidRPr="007E2F26">
        <w:rPr>
          <w:rFonts w:ascii="Times New Roman" w:hAnsi="Times New Roman" w:cs="Times New Roman"/>
          <w:color w:val="000000"/>
          <w:lang w:val="pt-PT"/>
        </w:rPr>
        <w:t>participação no desenvolvimento e sistemas de cuidado</w:t>
      </w:r>
      <w:r w:rsidR="0019370D"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em diferentes experiências da infância.</w:t>
      </w:r>
    </w:p>
    <w:p w14:paraId="13912899" w14:textId="77777777" w:rsidR="00B10342" w:rsidRPr="007E2F26" w:rsidRDefault="00B10342" w:rsidP="00CB46A4">
      <w:pPr>
        <w:pStyle w:val="Heading1"/>
        <w:spacing w:line="360" w:lineRule="auto"/>
        <w:jc w:val="both"/>
        <w:rPr>
          <w:rFonts w:ascii="Times New Roman" w:hAnsi="Times New Roman" w:cs="Times New Roman"/>
          <w:b/>
          <w:bCs/>
          <w:color w:val="000000"/>
          <w:sz w:val="32"/>
          <w:szCs w:val="32"/>
          <w:lang w:val="pt-PT"/>
        </w:rPr>
      </w:pPr>
      <w:bookmarkStart w:id="18" w:name="conclusão"/>
      <w:bookmarkEnd w:id="17"/>
      <w:r w:rsidRPr="007E2F26">
        <w:rPr>
          <w:rFonts w:ascii="Times New Roman" w:hAnsi="Times New Roman" w:cs="Times New Roman"/>
          <w:b/>
          <w:bCs/>
          <w:color w:val="000000"/>
          <w:sz w:val="32"/>
          <w:szCs w:val="32"/>
          <w:lang w:val="pt-PT"/>
        </w:rPr>
        <w:t>Conclusão</w:t>
      </w:r>
    </w:p>
    <w:p w14:paraId="42CF2FCD" w14:textId="51BB0313" w:rsidR="00B10342" w:rsidRPr="007E2F26" w:rsidRDefault="00B10342" w:rsidP="00CB46A4">
      <w:pPr>
        <w:pStyle w:val="FirstParagraph"/>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 xml:space="preserve">O presente artigo desenvolveu uma análise conceptual da Estrutura Ubuntu de Desenvolvimento da Primeira Infância (DPI) enquanto esforço teoricamente informado de reconsiderar a forma como o apoio ao desenvolvimento poderá ser compreendido no interior de realidades da infância relacionais, socioculturais e materialmente situadas em Moçambique. Em vez de conceptualizar o desenvolvimento infantil predominantemente através de intervenções institucionalmente centradas ou de pressupostos externamente produzidos sobre desenvolvimento, a estrutura reposiciona bem-estar infantil, participação e aprendizagem no interior de ambientes relacionais </w:t>
      </w:r>
      <w:r w:rsidRPr="007E2F26">
        <w:rPr>
          <w:rFonts w:ascii="Times New Roman" w:hAnsi="Times New Roman" w:cs="Times New Roman"/>
          <w:color w:val="000000"/>
          <w:lang w:val="pt-PT"/>
        </w:rPr>
        <w:lastRenderedPageBreak/>
        <w:t>de cuidado</w:t>
      </w:r>
      <w:r w:rsidR="0019370D"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moldados por sistemas de cuidado</w:t>
      </w:r>
      <w:r w:rsidR="0019370D" w:rsidRPr="007E2F26">
        <w:rPr>
          <w:rFonts w:ascii="Times New Roman" w:hAnsi="Times New Roman" w:cs="Times New Roman"/>
          <w:color w:val="000000"/>
          <w:lang w:val="pt-PT"/>
        </w:rPr>
        <w:t>s</w:t>
      </w:r>
      <w:r w:rsidRPr="007E2F26">
        <w:rPr>
          <w:rFonts w:ascii="Times New Roman" w:hAnsi="Times New Roman" w:cs="Times New Roman"/>
          <w:color w:val="000000"/>
          <w:lang w:val="pt-PT"/>
        </w:rPr>
        <w:t>, participação comunitária e realidades localmente situadas do desenvolvimento.</w:t>
      </w:r>
    </w:p>
    <w:p w14:paraId="2169AA7C" w14:textId="49728EFF"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Um dos contributos centrais da proposta reside no posicionamento do Ubuntu não apenas enquanto orientação ética do</w:t>
      </w:r>
      <w:r w:rsidR="0019370D"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cuidado</w:t>
      </w:r>
      <w:r w:rsidR="0019370D"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mas enquanto lógica organizadora do desenvolvimento através da qual pertença, reciprocidade, participação, dignidade e bem-estar infantil se tornam dimensões constitutivas do desenvolvimento. Importa igualmente reconhecer que o Ubuntu é aqui interpretado através de </w:t>
      </w:r>
      <w:r w:rsidRPr="007E2F26">
        <w:rPr>
          <w:rFonts w:ascii="Times New Roman" w:hAnsi="Times New Roman" w:cs="Times New Roman"/>
          <w:i/>
          <w:iCs/>
          <w:color w:val="000000"/>
          <w:lang w:val="pt-PT"/>
        </w:rPr>
        <w:t>saberes locais</w:t>
      </w:r>
      <w:r w:rsidRPr="007E2F26">
        <w:rPr>
          <w:rFonts w:ascii="Times New Roman" w:hAnsi="Times New Roman" w:cs="Times New Roman"/>
          <w:color w:val="000000"/>
          <w:lang w:val="pt-PT"/>
        </w:rPr>
        <w:t xml:space="preserve"> e </w:t>
      </w:r>
      <w:r w:rsidR="0019370D" w:rsidRPr="007E2F26">
        <w:rPr>
          <w:rFonts w:ascii="Times New Roman" w:hAnsi="Times New Roman" w:cs="Times New Roman"/>
          <w:i/>
          <w:iCs/>
          <w:color w:val="000000"/>
          <w:lang w:val="pt-PT"/>
        </w:rPr>
        <w:t xml:space="preserve">formas </w:t>
      </w:r>
      <w:r w:rsidRPr="007E2F26">
        <w:rPr>
          <w:rFonts w:ascii="Times New Roman" w:hAnsi="Times New Roman" w:cs="Times New Roman"/>
          <w:i/>
          <w:iCs/>
          <w:color w:val="000000"/>
          <w:lang w:val="pt-PT"/>
        </w:rPr>
        <w:t>locais de saber e fazer</w:t>
      </w:r>
      <w:r w:rsidRPr="007E2F26">
        <w:rPr>
          <w:rFonts w:ascii="Times New Roman" w:hAnsi="Times New Roman" w:cs="Times New Roman"/>
          <w:color w:val="000000"/>
          <w:lang w:val="pt-PT"/>
        </w:rPr>
        <w:t>, que moldam a forma como cuidado</w:t>
      </w:r>
      <w:r w:rsidR="0019370D" w:rsidRPr="007E2F26">
        <w:rPr>
          <w:rFonts w:ascii="Times New Roman" w:hAnsi="Times New Roman" w:cs="Times New Roman"/>
          <w:color w:val="000000"/>
          <w:lang w:val="pt-PT"/>
        </w:rPr>
        <w:t>s</w:t>
      </w:r>
      <w:r w:rsidRPr="007E2F26">
        <w:rPr>
          <w:rFonts w:ascii="Times New Roman" w:hAnsi="Times New Roman" w:cs="Times New Roman"/>
          <w:color w:val="000000"/>
          <w:lang w:val="pt-PT"/>
        </w:rPr>
        <w:t>, participação e responsabilidade pelo desenvolvimento são vividos nas comunidades moçambicanas. Neste sentido, a estrutura sugere a possibilidade de teorizar apoio ao desenvolvimento não apenas através da adaptação de modelos internacionalmente reconhecidos, mas também a partir dos próprios sistemas localmente constituídos de cuidado</w:t>
      </w:r>
      <w:r w:rsidR="0019370D"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e participação social.</w:t>
      </w:r>
    </w:p>
    <w:p w14:paraId="6DBE16CF" w14:textId="77777777"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A proposta não rejeita a ciência do desenvolvimento. Pelo contrário, ilustra como tradições internacionalmente reconhecidas do desenvolvimento e da pedagogia poderão ser reinterpretadas selectivamente à luz de realidades culturalmente significativas. Embora permaneça conceptual e exija investigação empírica continuada, a Estrutura Ubuntu de DPI contribui para debates académicos mais amplos relacionados com ciência do desenvolvimento culturalmente responsiva, localização no Desenvolvimento da Primeira Infância e infâncias africanas.</w:t>
      </w:r>
    </w:p>
    <w:p w14:paraId="307DF325" w14:textId="4AE4964A" w:rsidR="00B10342" w:rsidRPr="007E2F26" w:rsidRDefault="00B10342" w:rsidP="00CB46A4">
      <w:pPr>
        <w:pStyle w:val="BodyText"/>
        <w:spacing w:line="360" w:lineRule="auto"/>
        <w:jc w:val="both"/>
        <w:rPr>
          <w:rFonts w:ascii="Times New Roman" w:hAnsi="Times New Roman" w:cs="Times New Roman"/>
          <w:color w:val="000000"/>
          <w:lang w:val="pt-PT"/>
        </w:rPr>
      </w:pPr>
      <w:r w:rsidRPr="007E2F26">
        <w:rPr>
          <w:rFonts w:ascii="Times New Roman" w:hAnsi="Times New Roman" w:cs="Times New Roman"/>
          <w:color w:val="000000"/>
          <w:lang w:val="pt-PT"/>
        </w:rPr>
        <w:t>Vista sob esta perspectiva, a Estrutura Ubuntu de DPI contribui para reconsiderações mais amplas acerca da forma como ciência do desenvolvimento poderá tornar-se significativa no interior de mundos relacionais de cuidado</w:t>
      </w:r>
      <w:r w:rsidR="0019370D" w:rsidRPr="007E2F26">
        <w:rPr>
          <w:rFonts w:ascii="Times New Roman" w:hAnsi="Times New Roman" w:cs="Times New Roman"/>
          <w:color w:val="000000"/>
          <w:lang w:val="pt-PT"/>
        </w:rPr>
        <w:t>s</w:t>
      </w:r>
      <w:r w:rsidRPr="007E2F26">
        <w:rPr>
          <w:rFonts w:ascii="Times New Roman" w:hAnsi="Times New Roman" w:cs="Times New Roman"/>
          <w:color w:val="000000"/>
          <w:lang w:val="pt-PT"/>
        </w:rPr>
        <w:t xml:space="preserve"> moldados por contexto sociocultural, participação e responsabilidade colectiva. Para além de Moçambique, a proposta convida igualmente à reflexão sobre como teoria e evidência do desenvolvimento adquirem significado quando interpretadas através de </w:t>
      </w:r>
      <w:r w:rsidRPr="007E2F26">
        <w:rPr>
          <w:rFonts w:ascii="Times New Roman" w:hAnsi="Times New Roman" w:cs="Times New Roman"/>
          <w:i/>
          <w:iCs/>
          <w:color w:val="000000"/>
          <w:lang w:val="pt-PT"/>
        </w:rPr>
        <w:t>saberes locais</w:t>
      </w:r>
      <w:r w:rsidRPr="007E2F26">
        <w:rPr>
          <w:rFonts w:ascii="Times New Roman" w:hAnsi="Times New Roman" w:cs="Times New Roman"/>
          <w:color w:val="000000"/>
          <w:lang w:val="pt-PT"/>
        </w:rPr>
        <w:t xml:space="preserve"> e </w:t>
      </w:r>
      <w:r w:rsidR="0019370D" w:rsidRPr="007E2F26">
        <w:rPr>
          <w:rFonts w:ascii="Times New Roman" w:hAnsi="Times New Roman" w:cs="Times New Roman"/>
          <w:i/>
          <w:iCs/>
          <w:color w:val="000000"/>
          <w:lang w:val="pt-PT"/>
        </w:rPr>
        <w:t xml:space="preserve">formas </w:t>
      </w:r>
      <w:r w:rsidRPr="007E2F26">
        <w:rPr>
          <w:rFonts w:ascii="Times New Roman" w:hAnsi="Times New Roman" w:cs="Times New Roman"/>
          <w:i/>
          <w:iCs/>
          <w:color w:val="000000"/>
          <w:lang w:val="pt-PT"/>
        </w:rPr>
        <w:t>locais de saber e fazer</w:t>
      </w:r>
      <w:r w:rsidRPr="007E2F26">
        <w:rPr>
          <w:rFonts w:ascii="Times New Roman" w:hAnsi="Times New Roman" w:cs="Times New Roman"/>
          <w:color w:val="000000"/>
          <w:lang w:val="pt-PT"/>
        </w:rPr>
        <w:t>.</w:t>
      </w:r>
    </w:p>
    <w:bookmarkEnd w:id="7"/>
    <w:bookmarkEnd w:id="18"/>
    <w:p w14:paraId="384A2468" w14:textId="14DE2030" w:rsidR="0038108B" w:rsidRPr="007E2F26" w:rsidRDefault="0019370D" w:rsidP="0038108B">
      <w:pPr>
        <w:spacing w:before="100" w:beforeAutospacing="1" w:after="100" w:afterAutospacing="1" w:line="360" w:lineRule="auto"/>
        <w:jc w:val="both"/>
        <w:outlineLvl w:val="0"/>
        <w:rPr>
          <w:rFonts w:ascii="Times New Roman" w:eastAsia="Times New Roman" w:hAnsi="Times New Roman" w:cs="Times New Roman"/>
          <w:b/>
          <w:bCs/>
          <w:kern w:val="36"/>
          <w:sz w:val="32"/>
          <w:szCs w:val="32"/>
          <w:lang w:val="pt-PT"/>
        </w:rPr>
      </w:pPr>
      <w:r w:rsidRPr="007E2F26">
        <w:rPr>
          <w:rFonts w:ascii="Calibri" w:eastAsia="Calibri" w:hAnsi="Calibri" w:cs="Times New Roman"/>
          <w:b/>
          <w:bCs/>
          <w:kern w:val="36"/>
          <w:sz w:val="32"/>
          <w:szCs w:val="32"/>
          <w:lang w:val="pt-PT"/>
        </w:rPr>
        <w:t>Bibliografia</w:t>
      </w:r>
    </w:p>
    <w:p w14:paraId="0F63777C" w14:textId="77777777" w:rsidR="0038108B" w:rsidRPr="007E2F26" w:rsidRDefault="0038108B" w:rsidP="0038108B">
      <w:pPr>
        <w:spacing w:after="0" w:line="360" w:lineRule="auto"/>
        <w:jc w:val="both"/>
        <w:rPr>
          <w:rFonts w:ascii="Times New Roman" w:eastAsia="Calibri" w:hAnsi="Times New Roman" w:cs="Times New Roman"/>
          <w:b/>
          <w:bCs/>
          <w:kern w:val="36"/>
          <w:sz w:val="32"/>
          <w:szCs w:val="32"/>
          <w:lang w:val="pt-PT"/>
        </w:rPr>
      </w:pPr>
      <w:r w:rsidRPr="00BC39EF">
        <w:rPr>
          <w:rFonts w:ascii="Times New Roman" w:eastAsia="Calibri" w:hAnsi="Times New Roman" w:cs="Times New Roman"/>
          <w:kern w:val="2"/>
        </w:rPr>
        <w:t xml:space="preserve">Abebe, T., &amp; Bessell, S. (2014). Children’s care work and the social reproduction of childhood in sub-Saharan Africa. In A. Twum-Danso Imoh &amp; N. Ansell (Eds.), </w:t>
      </w:r>
      <w:r w:rsidRPr="00BC39EF">
        <w:rPr>
          <w:rFonts w:ascii="Times New Roman" w:eastAsia="Calibri" w:hAnsi="Times New Roman" w:cs="Times New Roman"/>
          <w:i/>
          <w:iCs/>
          <w:kern w:val="2"/>
        </w:rPr>
        <w:t xml:space="preserve">Children's lives in an era of </w:t>
      </w:r>
      <w:r w:rsidRPr="00BC39EF">
        <w:rPr>
          <w:rFonts w:ascii="Times New Roman" w:eastAsia="Calibri" w:hAnsi="Times New Roman" w:cs="Times New Roman"/>
          <w:i/>
          <w:iCs/>
          <w:kern w:val="2"/>
        </w:rPr>
        <w:lastRenderedPageBreak/>
        <w:t>children's rights: The progress of the convention on the rights of the child in Africa</w:t>
      </w:r>
      <w:r w:rsidRPr="00BC39EF">
        <w:rPr>
          <w:rFonts w:ascii="Times New Roman" w:eastAsia="Calibri" w:hAnsi="Times New Roman" w:cs="Times New Roman"/>
          <w:kern w:val="2"/>
        </w:rPr>
        <w:t xml:space="preserve"> (pp. 19–36). </w:t>
      </w:r>
      <w:r w:rsidRPr="007E2F26">
        <w:rPr>
          <w:rFonts w:ascii="Times New Roman" w:eastAsia="Calibri" w:hAnsi="Times New Roman" w:cs="Times New Roman"/>
          <w:kern w:val="2"/>
          <w:lang w:val="pt-PT"/>
        </w:rPr>
        <w:t>Routledge.</w:t>
      </w:r>
    </w:p>
    <w:p w14:paraId="75EB9162" w14:textId="77777777" w:rsidR="0038108B" w:rsidRPr="007E2F26" w:rsidRDefault="0038108B" w:rsidP="0038108B">
      <w:pPr>
        <w:spacing w:before="100" w:beforeAutospacing="1" w:after="100" w:afterAutospacing="1" w:line="360" w:lineRule="auto"/>
        <w:jc w:val="both"/>
        <w:rPr>
          <w:rFonts w:ascii="Times New Roman" w:eastAsia="Times New Roman" w:hAnsi="Times New Roman" w:cs="Times New Roman"/>
          <w:lang w:val="pt-PT"/>
        </w:rPr>
      </w:pPr>
      <w:r w:rsidRPr="007E2F26">
        <w:rPr>
          <w:rFonts w:ascii="Times New Roman" w:eastAsia="Times New Roman" w:hAnsi="Times New Roman" w:cs="Times New Roman"/>
          <w:lang w:val="pt-PT"/>
        </w:rPr>
        <w:t xml:space="preserve">Bandura, A. (1977). </w:t>
      </w:r>
      <w:r w:rsidRPr="007E2F26">
        <w:rPr>
          <w:rFonts w:ascii="Times New Roman" w:eastAsia="Times New Roman" w:hAnsi="Times New Roman" w:cs="Times New Roman"/>
          <w:i/>
          <w:iCs/>
          <w:lang w:val="pt-PT"/>
        </w:rPr>
        <w:t>Social learning theory</w:t>
      </w:r>
      <w:r w:rsidRPr="007E2F26">
        <w:rPr>
          <w:rFonts w:ascii="Times New Roman" w:eastAsia="Times New Roman" w:hAnsi="Times New Roman" w:cs="Times New Roman"/>
          <w:lang w:val="pt-PT"/>
        </w:rPr>
        <w:t>. Prentice Hall.</w:t>
      </w:r>
    </w:p>
    <w:p w14:paraId="6935456D" w14:textId="77777777" w:rsidR="0038108B" w:rsidRPr="007E2F26" w:rsidRDefault="0038108B" w:rsidP="0038108B">
      <w:pPr>
        <w:spacing w:before="100" w:beforeAutospacing="1" w:after="100" w:afterAutospacing="1" w:line="360" w:lineRule="auto"/>
        <w:jc w:val="both"/>
        <w:rPr>
          <w:rFonts w:ascii="Calibri" w:eastAsia="Calibri" w:hAnsi="Calibri" w:cs="Times New Roman"/>
          <w:kern w:val="2"/>
          <w:lang w:val="pt-PT"/>
        </w:rPr>
      </w:pPr>
      <w:r w:rsidRPr="007E2F26">
        <w:rPr>
          <w:rFonts w:ascii="Times New Roman" w:eastAsia="Times New Roman" w:hAnsi="Times New Roman" w:cs="Times New Roman"/>
          <w:lang w:val="pt-PT"/>
        </w:rPr>
        <w:t xml:space="preserve">Black, M. M., Walker, S. P., Fernald, L. C. H., Andersen, C. T., DiGirolamo, A. M., Lu, C., McCoy, D. C., Fink, G., Shawar, Y. R., Shiffman, J., Devercelli, A. E., Wodon, Q. T., Vargas-Barón, E., &amp; Grantham-McGregor, S. (2017). Early childhood development coming of age: Science through the life course. </w:t>
      </w:r>
      <w:r w:rsidRPr="007E2F26">
        <w:rPr>
          <w:rFonts w:ascii="Times New Roman" w:eastAsia="Times New Roman" w:hAnsi="Times New Roman" w:cs="Times New Roman"/>
          <w:i/>
          <w:iCs/>
          <w:lang w:val="pt-PT"/>
        </w:rPr>
        <w:t>The Lancet, 389</w:t>
      </w:r>
      <w:r w:rsidRPr="007E2F26">
        <w:rPr>
          <w:rFonts w:ascii="Times New Roman" w:eastAsia="Times New Roman" w:hAnsi="Times New Roman" w:cs="Times New Roman"/>
          <w:lang w:val="pt-PT"/>
        </w:rPr>
        <w:t xml:space="preserve">(10064), 77–90. </w:t>
      </w:r>
      <w:hyperlink r:id="rId11" w:history="1">
        <w:r w:rsidRPr="007E2F26">
          <w:rPr>
            <w:rFonts w:ascii="Times New Roman" w:eastAsia="Times New Roman" w:hAnsi="Times New Roman" w:cs="Times New Roman"/>
            <w:color w:val="0000FF"/>
            <w:u w:val="single"/>
            <w:lang w:val="pt-PT"/>
          </w:rPr>
          <w:t>https://doi.org/10.1016/S0140-6736(16)31389-7</w:t>
        </w:r>
      </w:hyperlink>
    </w:p>
    <w:p w14:paraId="6ADA6810" w14:textId="700685E5" w:rsidR="00FE3CC0" w:rsidRPr="007E2F26" w:rsidRDefault="00FE3CC0" w:rsidP="0038108B">
      <w:pPr>
        <w:spacing w:before="100" w:beforeAutospacing="1" w:after="100" w:afterAutospacing="1" w:line="360" w:lineRule="auto"/>
        <w:jc w:val="both"/>
        <w:rPr>
          <w:rFonts w:ascii="Times New Roman" w:eastAsia="Times New Roman" w:hAnsi="Times New Roman" w:cs="Times New Roman"/>
          <w:lang w:val="pt-PT"/>
        </w:rPr>
      </w:pPr>
      <w:r w:rsidRPr="007E2F26">
        <w:rPr>
          <w:rFonts w:ascii="Times New Roman" w:eastAsia="Times New Roman" w:hAnsi="Times New Roman" w:cs="Times New Roman"/>
          <w:lang w:val="pt-PT"/>
        </w:rPr>
        <w:t xml:space="preserve">Bornstein, M. H. (2017). The specificity principle in acculturation science. Perspectives on Psychological Science, 12(1), 3–45. </w:t>
      </w:r>
      <w:hyperlink r:id="rId12" w:history="1">
        <w:r w:rsidRPr="007E2F26">
          <w:rPr>
            <w:rStyle w:val="Hyperlink"/>
            <w:rFonts w:ascii="Times New Roman" w:eastAsia="Times New Roman" w:hAnsi="Times New Roman" w:cs="Times New Roman"/>
            <w:lang w:val="pt-PT"/>
          </w:rPr>
          <w:t>https://doi.org/10.1177/174569161665599</w:t>
        </w:r>
      </w:hyperlink>
      <w:r w:rsidRPr="007E2F26">
        <w:rPr>
          <w:rFonts w:ascii="Times New Roman" w:eastAsia="Times New Roman" w:hAnsi="Times New Roman" w:cs="Times New Roman"/>
          <w:lang w:val="pt-PT"/>
        </w:rPr>
        <w:t xml:space="preserve"> </w:t>
      </w:r>
    </w:p>
    <w:p w14:paraId="3BB544EF" w14:textId="77777777" w:rsidR="0038108B" w:rsidRPr="007E2F26" w:rsidRDefault="0038108B" w:rsidP="0038108B">
      <w:pPr>
        <w:spacing w:before="100" w:beforeAutospacing="1" w:after="100" w:afterAutospacing="1" w:line="360" w:lineRule="auto"/>
        <w:jc w:val="both"/>
        <w:rPr>
          <w:rFonts w:ascii="Times New Roman" w:eastAsia="Times New Roman" w:hAnsi="Times New Roman" w:cs="Times New Roman"/>
          <w:lang w:val="pt-PT"/>
        </w:rPr>
      </w:pPr>
      <w:r w:rsidRPr="007E2F26">
        <w:rPr>
          <w:rFonts w:ascii="Times New Roman" w:eastAsia="Times New Roman" w:hAnsi="Times New Roman" w:cs="Times New Roman"/>
          <w:lang w:val="pt-PT"/>
        </w:rPr>
        <w:t xml:space="preserve">Bowlby, J. (1969). </w:t>
      </w:r>
      <w:r w:rsidRPr="007E2F26">
        <w:rPr>
          <w:rFonts w:ascii="Times New Roman" w:eastAsia="Times New Roman" w:hAnsi="Times New Roman" w:cs="Times New Roman"/>
          <w:i/>
          <w:iCs/>
          <w:lang w:val="pt-PT"/>
        </w:rPr>
        <w:t>Attachment and loss: Vol. 1. Attachment</w:t>
      </w:r>
      <w:r w:rsidRPr="007E2F26">
        <w:rPr>
          <w:rFonts w:ascii="Times New Roman" w:eastAsia="Times New Roman" w:hAnsi="Times New Roman" w:cs="Times New Roman"/>
          <w:lang w:val="pt-PT"/>
        </w:rPr>
        <w:t>. Basic Books.</w:t>
      </w:r>
    </w:p>
    <w:p w14:paraId="3422529A" w14:textId="77777777" w:rsidR="0038108B" w:rsidRPr="007E2F26" w:rsidRDefault="0038108B" w:rsidP="0038108B">
      <w:pPr>
        <w:spacing w:before="100" w:beforeAutospacing="1" w:after="100" w:afterAutospacing="1" w:line="360" w:lineRule="auto"/>
        <w:jc w:val="both"/>
        <w:rPr>
          <w:rFonts w:ascii="Times New Roman" w:eastAsia="Times New Roman" w:hAnsi="Times New Roman" w:cs="Times New Roman"/>
          <w:lang w:val="pt-PT"/>
        </w:rPr>
      </w:pPr>
      <w:r w:rsidRPr="007E2F26">
        <w:rPr>
          <w:rFonts w:ascii="Times New Roman" w:eastAsia="Times New Roman" w:hAnsi="Times New Roman" w:cs="Times New Roman"/>
          <w:lang w:val="pt-PT"/>
        </w:rPr>
        <w:t xml:space="preserve">Bronfenbrenner, U. (1979). </w:t>
      </w:r>
      <w:r w:rsidRPr="007E2F26">
        <w:rPr>
          <w:rFonts w:ascii="Times New Roman" w:eastAsia="Times New Roman" w:hAnsi="Times New Roman" w:cs="Times New Roman"/>
          <w:i/>
          <w:iCs/>
          <w:lang w:val="pt-PT"/>
        </w:rPr>
        <w:t>The ecology of human development: Experiments by nature and design</w:t>
      </w:r>
      <w:r w:rsidRPr="007E2F26">
        <w:rPr>
          <w:rFonts w:ascii="Times New Roman" w:eastAsia="Times New Roman" w:hAnsi="Times New Roman" w:cs="Times New Roman"/>
          <w:lang w:val="pt-PT"/>
        </w:rPr>
        <w:t>. Harvard University Press.</w:t>
      </w:r>
    </w:p>
    <w:p w14:paraId="23C7A641" w14:textId="77777777" w:rsidR="0038108B" w:rsidRPr="007E2F26" w:rsidRDefault="0038108B" w:rsidP="0038108B">
      <w:pPr>
        <w:spacing w:before="100" w:beforeAutospacing="1" w:after="100" w:afterAutospacing="1" w:line="360" w:lineRule="auto"/>
        <w:jc w:val="both"/>
        <w:rPr>
          <w:rFonts w:ascii="Times New Roman" w:eastAsia="Times New Roman" w:hAnsi="Times New Roman" w:cs="Times New Roman"/>
          <w:lang w:val="pt-PT"/>
        </w:rPr>
      </w:pPr>
      <w:r w:rsidRPr="007E2F26">
        <w:rPr>
          <w:rFonts w:ascii="Times New Roman" w:eastAsia="Times New Roman" w:hAnsi="Times New Roman" w:cs="Times New Roman"/>
          <w:lang w:val="pt-PT"/>
        </w:rPr>
        <w:t xml:space="preserve">Bronfenbrenner, U., &amp; Morris, P. A. (2006). The bioecological model of human development. In R. M. Lerner &amp; W. Damon (Eds.), </w:t>
      </w:r>
      <w:r w:rsidRPr="007E2F26">
        <w:rPr>
          <w:rFonts w:ascii="Times New Roman" w:eastAsia="Times New Roman" w:hAnsi="Times New Roman" w:cs="Times New Roman"/>
          <w:i/>
          <w:iCs/>
          <w:lang w:val="pt-PT"/>
        </w:rPr>
        <w:t>Handbook of child psychology</w:t>
      </w:r>
      <w:r w:rsidRPr="007E2F26">
        <w:rPr>
          <w:rFonts w:ascii="Times New Roman" w:eastAsia="Times New Roman" w:hAnsi="Times New Roman" w:cs="Times New Roman"/>
          <w:lang w:val="pt-PT"/>
        </w:rPr>
        <w:t xml:space="preserve"> (6th ed., Vol. 1, pp. 793–828). Wiley.</w:t>
      </w:r>
    </w:p>
    <w:p w14:paraId="3D41C9F4" w14:textId="77777777" w:rsidR="0038108B" w:rsidRPr="007E2F26" w:rsidRDefault="0038108B" w:rsidP="0038108B">
      <w:pPr>
        <w:spacing w:before="100" w:beforeAutospacing="1" w:after="100" w:afterAutospacing="1" w:line="360" w:lineRule="auto"/>
        <w:jc w:val="both"/>
        <w:rPr>
          <w:rFonts w:ascii="Times New Roman" w:eastAsia="Times New Roman" w:hAnsi="Times New Roman" w:cs="Times New Roman"/>
          <w:lang w:val="pt-PT"/>
        </w:rPr>
      </w:pPr>
      <w:r w:rsidRPr="007E2F26">
        <w:rPr>
          <w:rFonts w:ascii="Times New Roman" w:eastAsia="Times New Roman" w:hAnsi="Times New Roman" w:cs="Times New Roman"/>
          <w:lang w:val="pt-PT"/>
        </w:rPr>
        <w:t xml:space="preserve">Britto, P. R., Lye, S. J., Proulx, K., Yousafzai, A. K., Matthews, S. G., Vaivada, T., Perez-Escamilla, R., Rao, N., Ip, P., Fernald, L. C. H., MacMillan, H., Hanson, M., Wachs, T. D., Yao, H., Yoshikawa, H., Cerezo, A., Leckman, J. F., &amp; Bhutta, Z. A. (2017). Nurturing care: Promoting early childhood development. </w:t>
      </w:r>
      <w:r w:rsidRPr="007E2F26">
        <w:rPr>
          <w:rFonts w:ascii="Times New Roman" w:eastAsia="Times New Roman" w:hAnsi="Times New Roman" w:cs="Times New Roman"/>
          <w:i/>
          <w:iCs/>
          <w:lang w:val="pt-PT"/>
        </w:rPr>
        <w:t>The Lancet, 389</w:t>
      </w:r>
      <w:r w:rsidRPr="007E2F26">
        <w:rPr>
          <w:rFonts w:ascii="Times New Roman" w:eastAsia="Times New Roman" w:hAnsi="Times New Roman" w:cs="Times New Roman"/>
          <w:lang w:val="pt-PT"/>
        </w:rPr>
        <w:t xml:space="preserve">(10064), 91–102. </w:t>
      </w:r>
      <w:hyperlink r:id="rId13" w:history="1">
        <w:r w:rsidRPr="007E2F26">
          <w:rPr>
            <w:rFonts w:ascii="Times New Roman" w:eastAsia="Times New Roman" w:hAnsi="Times New Roman" w:cs="Times New Roman"/>
            <w:color w:val="0000FF"/>
            <w:u w:val="single"/>
            <w:lang w:val="pt-PT"/>
          </w:rPr>
          <w:t>https://doi.org/10.1016/S0140-6736(16)31390-3</w:t>
        </w:r>
      </w:hyperlink>
    </w:p>
    <w:p w14:paraId="1FED7447" w14:textId="77777777" w:rsidR="0038108B" w:rsidRPr="007E2F26" w:rsidRDefault="0038108B" w:rsidP="0038108B">
      <w:pPr>
        <w:spacing w:before="100" w:beforeAutospacing="1" w:after="100" w:afterAutospacing="1" w:line="360" w:lineRule="auto"/>
        <w:jc w:val="both"/>
        <w:rPr>
          <w:rFonts w:ascii="Calibri" w:eastAsia="Calibri" w:hAnsi="Calibri" w:cs="Times New Roman"/>
          <w:kern w:val="2"/>
          <w:lang w:val="pt-PT"/>
        </w:rPr>
      </w:pPr>
      <w:r w:rsidRPr="007E2F26">
        <w:rPr>
          <w:rFonts w:ascii="Times New Roman" w:eastAsia="Times New Roman" w:hAnsi="Times New Roman" w:cs="Times New Roman"/>
          <w:lang w:val="pt-PT"/>
        </w:rPr>
        <w:t xml:space="preserve">Daelmans, B., Darmstadt, G. L., Lombardi, J., Black, M. M., Britto, P. R., Lye, S. J., Dua, T., Bhutta, Z. A., &amp; Richter, L. M. (2017). Early childhood development: The foundation of sustainable development. </w:t>
      </w:r>
      <w:r w:rsidRPr="007E2F26">
        <w:rPr>
          <w:rFonts w:ascii="Times New Roman" w:eastAsia="Times New Roman" w:hAnsi="Times New Roman" w:cs="Times New Roman"/>
          <w:i/>
          <w:iCs/>
          <w:lang w:val="pt-PT"/>
        </w:rPr>
        <w:t>The Lancet, 389</w:t>
      </w:r>
      <w:r w:rsidRPr="007E2F26">
        <w:rPr>
          <w:rFonts w:ascii="Times New Roman" w:eastAsia="Times New Roman" w:hAnsi="Times New Roman" w:cs="Times New Roman"/>
          <w:lang w:val="pt-PT"/>
        </w:rPr>
        <w:t xml:space="preserve">(10064), 9–11. </w:t>
      </w:r>
      <w:hyperlink r:id="rId14" w:history="1">
        <w:r w:rsidRPr="007E2F26">
          <w:rPr>
            <w:rFonts w:ascii="Times New Roman" w:eastAsia="Times New Roman" w:hAnsi="Times New Roman" w:cs="Times New Roman"/>
            <w:color w:val="0000FF"/>
            <w:u w:val="single"/>
            <w:lang w:val="pt-PT"/>
          </w:rPr>
          <w:t>https://doi.org/10.1016/S0140-6736(16)31659-2</w:t>
        </w:r>
      </w:hyperlink>
    </w:p>
    <w:p w14:paraId="72801D40" w14:textId="77B03DDE" w:rsidR="00FE3CC0" w:rsidRPr="007E2F26" w:rsidRDefault="00FE3CC0" w:rsidP="0038108B">
      <w:pPr>
        <w:spacing w:before="100" w:beforeAutospacing="1" w:after="100" w:afterAutospacing="1" w:line="360" w:lineRule="auto"/>
        <w:jc w:val="both"/>
        <w:rPr>
          <w:rFonts w:ascii="Times New Roman" w:eastAsia="Times New Roman" w:hAnsi="Times New Roman" w:cs="Times New Roman"/>
          <w:lang w:val="pt-PT"/>
        </w:rPr>
      </w:pPr>
      <w:r w:rsidRPr="007E2F26">
        <w:rPr>
          <w:rFonts w:ascii="Times New Roman" w:eastAsia="Times New Roman" w:hAnsi="Times New Roman" w:cs="Times New Roman"/>
          <w:lang w:val="pt-PT"/>
        </w:rPr>
        <w:lastRenderedPageBreak/>
        <w:t>Dei, G. J. S. (2000). African development: The relevance and implications of indigenousness. In G. J. S. Dei, B. L. Hall, &amp; D. G. Rosenberg (Eds.), Indigenous knowledges in global contexts: Multiple readings of our world (pp. 23–42). University of Toronto Press.</w:t>
      </w:r>
    </w:p>
    <w:p w14:paraId="73928B13" w14:textId="77777777" w:rsidR="0038108B" w:rsidRPr="007E2F26" w:rsidRDefault="0038108B" w:rsidP="0038108B">
      <w:pPr>
        <w:spacing w:before="100" w:beforeAutospacing="1" w:after="100" w:afterAutospacing="1" w:line="360" w:lineRule="auto"/>
        <w:jc w:val="both"/>
        <w:rPr>
          <w:rFonts w:ascii="Times New Roman" w:eastAsia="Times New Roman" w:hAnsi="Times New Roman" w:cs="Times New Roman"/>
          <w:lang w:val="pt-PT"/>
        </w:rPr>
      </w:pPr>
      <w:r w:rsidRPr="007E2F26">
        <w:rPr>
          <w:rFonts w:ascii="Times New Roman" w:eastAsia="Times New Roman" w:hAnsi="Times New Roman" w:cs="Times New Roman"/>
          <w:lang w:val="pt-PT"/>
        </w:rPr>
        <w:t xml:space="preserve">Edwards, C., Gandini, L., &amp; Forman, G. (Eds.). (2012). </w:t>
      </w:r>
      <w:r w:rsidRPr="007E2F26">
        <w:rPr>
          <w:rFonts w:ascii="Times New Roman" w:eastAsia="Times New Roman" w:hAnsi="Times New Roman" w:cs="Times New Roman"/>
          <w:i/>
          <w:iCs/>
          <w:lang w:val="pt-PT"/>
        </w:rPr>
        <w:t>The hundred languages of children: The Reggio Emilia experience in transformation</w:t>
      </w:r>
      <w:r w:rsidRPr="007E2F26">
        <w:rPr>
          <w:rFonts w:ascii="Times New Roman" w:eastAsia="Times New Roman" w:hAnsi="Times New Roman" w:cs="Times New Roman"/>
          <w:lang w:val="pt-PT"/>
        </w:rPr>
        <w:t xml:space="preserve"> (3rd ed.). Praeger.</w:t>
      </w:r>
    </w:p>
    <w:p w14:paraId="57EE5C73" w14:textId="77777777" w:rsidR="0038108B" w:rsidRPr="007E2F26" w:rsidRDefault="0038108B" w:rsidP="0038108B">
      <w:pPr>
        <w:spacing w:before="100" w:beforeAutospacing="1" w:after="100" w:afterAutospacing="1" w:line="360" w:lineRule="auto"/>
        <w:jc w:val="both"/>
        <w:rPr>
          <w:rFonts w:ascii="Times New Roman" w:eastAsia="Times New Roman" w:hAnsi="Times New Roman" w:cs="Times New Roman"/>
          <w:lang w:val="pt-PT"/>
        </w:rPr>
      </w:pPr>
      <w:r w:rsidRPr="007E2F26">
        <w:rPr>
          <w:rFonts w:ascii="Times New Roman" w:eastAsia="Times New Roman" w:hAnsi="Times New Roman" w:cs="Times New Roman"/>
          <w:lang w:val="pt-PT"/>
        </w:rPr>
        <w:t xml:space="preserve">Erikson, E. H. (1963). </w:t>
      </w:r>
      <w:r w:rsidRPr="007E2F26">
        <w:rPr>
          <w:rFonts w:ascii="Times New Roman" w:eastAsia="Times New Roman" w:hAnsi="Times New Roman" w:cs="Times New Roman"/>
          <w:i/>
          <w:iCs/>
          <w:lang w:val="pt-PT"/>
        </w:rPr>
        <w:t>Childhood and society</w:t>
      </w:r>
      <w:r w:rsidRPr="007E2F26">
        <w:rPr>
          <w:rFonts w:ascii="Times New Roman" w:eastAsia="Times New Roman" w:hAnsi="Times New Roman" w:cs="Times New Roman"/>
          <w:lang w:val="pt-PT"/>
        </w:rPr>
        <w:t xml:space="preserve"> (2nd ed.). Norton.</w:t>
      </w:r>
    </w:p>
    <w:p w14:paraId="73BF0774" w14:textId="6AF2000A" w:rsidR="00FE3CC0" w:rsidRPr="007E2F26" w:rsidRDefault="0038108B" w:rsidP="0038108B">
      <w:pPr>
        <w:spacing w:before="100" w:beforeAutospacing="1" w:after="100" w:afterAutospacing="1" w:line="360" w:lineRule="auto"/>
        <w:jc w:val="both"/>
        <w:rPr>
          <w:rFonts w:ascii="Calibri" w:eastAsia="Calibri" w:hAnsi="Calibri" w:cs="Times New Roman"/>
          <w:kern w:val="2"/>
          <w:lang w:val="pt-PT"/>
        </w:rPr>
      </w:pPr>
      <w:r w:rsidRPr="007E2F26">
        <w:rPr>
          <w:rFonts w:ascii="Times New Roman" w:eastAsia="Times New Roman" w:hAnsi="Times New Roman" w:cs="Times New Roman"/>
          <w:lang w:val="pt-PT"/>
        </w:rPr>
        <w:t xml:space="preserve">Jeong, J., Franchett, E. E., Ramos de Oliveira, C. V., Rehmani, K., &amp; Yousafzai, A. K. (2021). </w:t>
      </w:r>
      <w:r w:rsidRPr="00BC39EF">
        <w:rPr>
          <w:rFonts w:ascii="Times New Roman" w:eastAsia="Times New Roman" w:hAnsi="Times New Roman" w:cs="Times New Roman"/>
        </w:rPr>
        <w:t xml:space="preserve">Parenting interventions to promote early child development in the first three years of life: A global systematic review and meta-analysis. </w:t>
      </w:r>
      <w:r w:rsidRPr="007E2F26">
        <w:rPr>
          <w:rFonts w:ascii="Times New Roman" w:eastAsia="Times New Roman" w:hAnsi="Times New Roman" w:cs="Times New Roman"/>
          <w:i/>
          <w:iCs/>
          <w:lang w:val="pt-PT"/>
        </w:rPr>
        <w:t>PLOS Medicine, 18</w:t>
      </w:r>
      <w:r w:rsidRPr="007E2F26">
        <w:rPr>
          <w:rFonts w:ascii="Times New Roman" w:eastAsia="Times New Roman" w:hAnsi="Times New Roman" w:cs="Times New Roman"/>
          <w:lang w:val="pt-PT"/>
        </w:rPr>
        <w:t xml:space="preserve">(5), e1003602. </w:t>
      </w:r>
      <w:hyperlink r:id="rId15" w:history="1">
        <w:r w:rsidRPr="007E2F26">
          <w:rPr>
            <w:rFonts w:ascii="Times New Roman" w:eastAsia="Times New Roman" w:hAnsi="Times New Roman" w:cs="Times New Roman"/>
            <w:color w:val="0000FF"/>
            <w:u w:val="single"/>
            <w:lang w:val="pt-PT"/>
          </w:rPr>
          <w:t>https://doi.org/10.1371/journal.pmed.1003602</w:t>
        </w:r>
      </w:hyperlink>
    </w:p>
    <w:p w14:paraId="3683FAFA" w14:textId="4E2BBEFB" w:rsidR="00FE3CC0" w:rsidRPr="007E2F26" w:rsidRDefault="00FE3CC0" w:rsidP="0038108B">
      <w:pPr>
        <w:spacing w:before="100" w:beforeAutospacing="1" w:after="100" w:afterAutospacing="1" w:line="360" w:lineRule="auto"/>
        <w:jc w:val="both"/>
        <w:rPr>
          <w:rFonts w:ascii="Times New Roman" w:eastAsia="Calibri" w:hAnsi="Times New Roman" w:cs="Times New Roman"/>
          <w:kern w:val="2"/>
          <w:lang w:val="pt-PT"/>
        </w:rPr>
      </w:pPr>
      <w:r w:rsidRPr="007E2F26">
        <w:rPr>
          <w:rFonts w:ascii="Times New Roman" w:eastAsia="Calibri" w:hAnsi="Times New Roman" w:cs="Times New Roman"/>
          <w:kern w:val="2"/>
          <w:lang w:val="pt-PT"/>
        </w:rPr>
        <w:t xml:space="preserve">Keller, H. (2018). Universality claim of attachment theory: Children’s socioemotional development across cultures. </w:t>
      </w:r>
      <w:r w:rsidRPr="007E2F26">
        <w:rPr>
          <w:rFonts w:ascii="Times New Roman" w:eastAsia="Calibri" w:hAnsi="Times New Roman" w:cs="Times New Roman"/>
          <w:i/>
          <w:iCs/>
          <w:kern w:val="2"/>
          <w:lang w:val="pt-PT"/>
        </w:rPr>
        <w:t>Proceedings of the National Academy of Sciences,</w:t>
      </w:r>
      <w:r w:rsidRPr="007E2F26">
        <w:rPr>
          <w:rFonts w:ascii="Times New Roman" w:eastAsia="Calibri" w:hAnsi="Times New Roman" w:cs="Times New Roman"/>
          <w:kern w:val="2"/>
          <w:lang w:val="pt-PT"/>
        </w:rPr>
        <w:t xml:space="preserve"> 115(45), 11414–11419. https://doi.org/10.1073/pnas.1720325115</w:t>
      </w:r>
    </w:p>
    <w:p w14:paraId="161F869B" w14:textId="77777777" w:rsidR="0038108B" w:rsidRPr="007E2F26" w:rsidRDefault="0038108B" w:rsidP="0038108B">
      <w:pPr>
        <w:spacing w:before="100" w:beforeAutospacing="1" w:after="100" w:afterAutospacing="1" w:line="360" w:lineRule="auto"/>
        <w:jc w:val="both"/>
        <w:rPr>
          <w:rFonts w:ascii="Times New Roman" w:eastAsia="Times New Roman" w:hAnsi="Times New Roman" w:cs="Times New Roman"/>
          <w:lang w:val="pt-PT"/>
        </w:rPr>
      </w:pPr>
      <w:r w:rsidRPr="007E2F26">
        <w:rPr>
          <w:rFonts w:ascii="Times New Roman" w:eastAsia="Times New Roman" w:hAnsi="Times New Roman" w:cs="Times New Roman"/>
          <w:lang w:val="pt-PT"/>
        </w:rPr>
        <w:t>Ladson-Billings, G. (1995). Toward a theory of culturally relevant pedagogy. American Educational Research Journal, 32(3), 465–491.</w:t>
      </w:r>
    </w:p>
    <w:p w14:paraId="211D149E" w14:textId="0A99D2E9" w:rsidR="00874F1A" w:rsidRPr="007E2F26" w:rsidRDefault="00874F1A" w:rsidP="0038108B">
      <w:pPr>
        <w:spacing w:before="100" w:beforeAutospacing="1" w:after="100" w:afterAutospacing="1" w:line="360" w:lineRule="auto"/>
        <w:jc w:val="both"/>
        <w:rPr>
          <w:rFonts w:ascii="Times New Roman" w:eastAsia="Times New Roman" w:hAnsi="Times New Roman" w:cs="Times New Roman"/>
          <w:lang w:val="pt-PT"/>
        </w:rPr>
      </w:pPr>
      <w:r w:rsidRPr="00BC39EF">
        <w:rPr>
          <w:rFonts w:ascii="Times New Roman" w:eastAsia="Times New Roman" w:hAnsi="Times New Roman" w:cs="Times New Roman"/>
        </w:rPr>
        <w:t xml:space="preserve">Marfo, K., Pence, A., Levine, R., &amp; Levine, S. (2021). Child development research and practice in Africa: A contextual imperative. </w:t>
      </w:r>
      <w:r w:rsidRPr="007E2F26">
        <w:rPr>
          <w:rFonts w:ascii="Times New Roman" w:eastAsia="Times New Roman" w:hAnsi="Times New Roman" w:cs="Times New Roman"/>
          <w:i/>
          <w:iCs/>
          <w:lang w:val="pt-PT"/>
        </w:rPr>
        <w:t>New Directions for Child and Adolescent Development</w:t>
      </w:r>
      <w:r w:rsidRPr="007E2F26">
        <w:rPr>
          <w:rFonts w:ascii="Times New Roman" w:eastAsia="Times New Roman" w:hAnsi="Times New Roman" w:cs="Times New Roman"/>
          <w:lang w:val="pt-PT"/>
        </w:rPr>
        <w:t>, 2021(178), 7–20.</w:t>
      </w:r>
    </w:p>
    <w:p w14:paraId="78DD59F1" w14:textId="77777777" w:rsidR="0038108B" w:rsidRPr="007E2F26" w:rsidRDefault="0038108B" w:rsidP="0038108B">
      <w:pPr>
        <w:spacing w:before="100" w:beforeAutospacing="1" w:after="100" w:afterAutospacing="1" w:line="360" w:lineRule="auto"/>
        <w:jc w:val="both"/>
        <w:rPr>
          <w:rFonts w:ascii="Times New Roman" w:eastAsia="Times New Roman" w:hAnsi="Times New Roman" w:cs="Times New Roman"/>
          <w:lang w:val="pt-PT"/>
        </w:rPr>
      </w:pPr>
      <w:r w:rsidRPr="007E2F26">
        <w:rPr>
          <w:rFonts w:ascii="Times New Roman" w:eastAsia="Times New Roman" w:hAnsi="Times New Roman" w:cs="Times New Roman"/>
          <w:lang w:val="pt-PT"/>
        </w:rPr>
        <w:t xml:space="preserve">Montessori, M. (1967). </w:t>
      </w:r>
      <w:r w:rsidRPr="007E2F26">
        <w:rPr>
          <w:rFonts w:ascii="Times New Roman" w:eastAsia="Times New Roman" w:hAnsi="Times New Roman" w:cs="Times New Roman"/>
          <w:i/>
          <w:iCs/>
          <w:lang w:val="pt-PT"/>
        </w:rPr>
        <w:t>The discovery of the child</w:t>
      </w:r>
      <w:r w:rsidRPr="007E2F26">
        <w:rPr>
          <w:rFonts w:ascii="Times New Roman" w:eastAsia="Times New Roman" w:hAnsi="Times New Roman" w:cs="Times New Roman"/>
          <w:lang w:val="pt-PT"/>
        </w:rPr>
        <w:t>. Ballantine Books.</w:t>
      </w:r>
    </w:p>
    <w:p w14:paraId="7AD28A42" w14:textId="77777777" w:rsidR="0038108B" w:rsidRPr="007E2F26" w:rsidRDefault="0038108B" w:rsidP="0038108B">
      <w:pPr>
        <w:spacing w:before="100" w:beforeAutospacing="1" w:after="100" w:afterAutospacing="1" w:line="360" w:lineRule="auto"/>
        <w:jc w:val="both"/>
        <w:rPr>
          <w:rFonts w:ascii="Calibri" w:eastAsia="Calibri" w:hAnsi="Calibri" w:cs="Times New Roman"/>
          <w:kern w:val="2"/>
          <w:lang w:val="pt-PT"/>
        </w:rPr>
      </w:pPr>
      <w:r w:rsidRPr="007E2F26">
        <w:rPr>
          <w:rFonts w:ascii="Times New Roman" w:eastAsia="Times New Roman" w:hAnsi="Times New Roman" w:cs="Times New Roman"/>
          <w:lang w:val="pt-PT"/>
        </w:rPr>
        <w:t xml:space="preserve">Nsamenang, A. B. (2006). Human ontogenesis: An indigenous African view on development and intelligence. </w:t>
      </w:r>
      <w:r w:rsidRPr="007E2F26">
        <w:rPr>
          <w:rFonts w:ascii="Times New Roman" w:eastAsia="Times New Roman" w:hAnsi="Times New Roman" w:cs="Times New Roman"/>
          <w:i/>
          <w:iCs/>
          <w:lang w:val="pt-PT"/>
        </w:rPr>
        <w:t>International Journal of Psychology, 41</w:t>
      </w:r>
      <w:r w:rsidRPr="007E2F26">
        <w:rPr>
          <w:rFonts w:ascii="Times New Roman" w:eastAsia="Times New Roman" w:hAnsi="Times New Roman" w:cs="Times New Roman"/>
          <w:lang w:val="pt-PT"/>
        </w:rPr>
        <w:t xml:space="preserve">(4), 293–297. </w:t>
      </w:r>
      <w:hyperlink r:id="rId16" w:history="1">
        <w:r w:rsidRPr="007E2F26">
          <w:rPr>
            <w:rFonts w:ascii="Times New Roman" w:eastAsia="Times New Roman" w:hAnsi="Times New Roman" w:cs="Times New Roman"/>
            <w:color w:val="0000FF"/>
            <w:u w:val="single"/>
            <w:lang w:val="pt-PT"/>
          </w:rPr>
          <w:t>https://doi.org/10.1080/00207590544000008</w:t>
        </w:r>
      </w:hyperlink>
    </w:p>
    <w:p w14:paraId="2BF45553" w14:textId="77777777" w:rsidR="0038108B" w:rsidRPr="007E2F26" w:rsidRDefault="0038108B" w:rsidP="0038108B">
      <w:pPr>
        <w:spacing w:before="100" w:beforeAutospacing="1" w:after="100" w:afterAutospacing="1" w:line="360" w:lineRule="auto"/>
        <w:jc w:val="both"/>
        <w:rPr>
          <w:rFonts w:ascii="Times New Roman" w:eastAsia="Times New Roman" w:hAnsi="Times New Roman" w:cs="Times New Roman"/>
          <w:lang w:val="pt-PT"/>
        </w:rPr>
      </w:pPr>
      <w:r w:rsidRPr="007E2F26">
        <w:rPr>
          <w:rFonts w:ascii="Times New Roman" w:eastAsia="Times New Roman" w:hAnsi="Times New Roman" w:cs="Times New Roman"/>
          <w:lang w:val="pt-PT"/>
        </w:rPr>
        <w:t>Paris, D. (2012). Culturally sustaining pedagogy: A needed change in stance, terminology, and practice. Educational Researcher, 41(3), 93–97.</w:t>
      </w:r>
    </w:p>
    <w:p w14:paraId="577A2D63" w14:textId="77777777" w:rsidR="0038108B" w:rsidRPr="007E2F26" w:rsidRDefault="0038108B" w:rsidP="0038108B">
      <w:pPr>
        <w:spacing w:before="100" w:beforeAutospacing="1" w:after="100" w:afterAutospacing="1" w:line="360" w:lineRule="auto"/>
        <w:jc w:val="both"/>
        <w:rPr>
          <w:rFonts w:ascii="Calibri" w:eastAsia="Calibri" w:hAnsi="Calibri" w:cs="Times New Roman"/>
          <w:kern w:val="2"/>
          <w:lang w:val="pt-PT"/>
        </w:rPr>
      </w:pPr>
      <w:r w:rsidRPr="00BC39EF">
        <w:rPr>
          <w:rFonts w:ascii="Times New Roman" w:eastAsia="Times New Roman" w:hAnsi="Times New Roman" w:cs="Times New Roman"/>
        </w:rPr>
        <w:lastRenderedPageBreak/>
        <w:t xml:space="preserve">Pence, A., &amp; Marfo, K. (2020). Early childhood development in Africa: Interrogating constraints of prevailing knowledge bases. </w:t>
      </w:r>
      <w:r w:rsidRPr="007E2F26">
        <w:rPr>
          <w:rFonts w:ascii="Times New Roman" w:eastAsia="Times New Roman" w:hAnsi="Times New Roman" w:cs="Times New Roman"/>
          <w:i/>
          <w:iCs/>
          <w:lang w:val="pt-PT"/>
        </w:rPr>
        <w:t>New Directions for Child and Adolescent Development, 2020</w:t>
      </w:r>
      <w:r w:rsidRPr="007E2F26">
        <w:rPr>
          <w:rFonts w:ascii="Times New Roman" w:eastAsia="Times New Roman" w:hAnsi="Times New Roman" w:cs="Times New Roman"/>
          <w:lang w:val="pt-PT"/>
        </w:rPr>
        <w:t xml:space="preserve">(172), 9–25. </w:t>
      </w:r>
      <w:hyperlink r:id="rId17" w:history="1">
        <w:r w:rsidRPr="007E2F26">
          <w:rPr>
            <w:rFonts w:ascii="Times New Roman" w:eastAsia="Times New Roman" w:hAnsi="Times New Roman" w:cs="Times New Roman"/>
            <w:color w:val="0000FF"/>
            <w:u w:val="single"/>
            <w:lang w:val="pt-PT"/>
          </w:rPr>
          <w:t>https://doi.org/10.1002/cad.20362</w:t>
        </w:r>
      </w:hyperlink>
    </w:p>
    <w:p w14:paraId="052C1FD0" w14:textId="77777777" w:rsidR="0038108B" w:rsidRPr="007E2F26" w:rsidRDefault="0038108B" w:rsidP="0038108B">
      <w:pPr>
        <w:spacing w:before="100" w:beforeAutospacing="1" w:after="100" w:afterAutospacing="1" w:line="360" w:lineRule="auto"/>
        <w:jc w:val="both"/>
        <w:rPr>
          <w:rFonts w:ascii="Times New Roman" w:eastAsia="Times New Roman" w:hAnsi="Times New Roman" w:cs="Times New Roman"/>
          <w:lang w:val="pt-PT"/>
        </w:rPr>
      </w:pPr>
      <w:r w:rsidRPr="007E2F26">
        <w:rPr>
          <w:rFonts w:ascii="Times New Roman" w:eastAsia="Times New Roman" w:hAnsi="Times New Roman" w:cs="Times New Roman"/>
          <w:lang w:val="pt-PT"/>
        </w:rPr>
        <w:t>Penn, H. (2011). Travelling policies and global buzzwords: How international non-governmental organizations and charities spread the word about early childhood in the global South. Childhood, 18(1), 94–113. https://doi.org/10.1177/0907568210369843</w:t>
      </w:r>
    </w:p>
    <w:p w14:paraId="08CD10CF" w14:textId="77777777" w:rsidR="0038108B" w:rsidRPr="007E2F26" w:rsidRDefault="0038108B" w:rsidP="0038108B">
      <w:pPr>
        <w:spacing w:before="100" w:beforeAutospacing="1" w:after="100" w:afterAutospacing="1" w:line="360" w:lineRule="auto"/>
        <w:jc w:val="both"/>
        <w:rPr>
          <w:rFonts w:ascii="Times New Roman" w:eastAsia="Times New Roman" w:hAnsi="Times New Roman" w:cs="Times New Roman"/>
          <w:lang w:val="pt-PT"/>
        </w:rPr>
      </w:pPr>
      <w:r w:rsidRPr="007E2F26">
        <w:rPr>
          <w:rFonts w:ascii="Times New Roman" w:eastAsia="Times New Roman" w:hAnsi="Times New Roman" w:cs="Times New Roman"/>
          <w:lang w:val="pt-PT"/>
        </w:rPr>
        <w:t xml:space="preserve">Piaget, J. (1952). </w:t>
      </w:r>
      <w:r w:rsidRPr="007E2F26">
        <w:rPr>
          <w:rFonts w:ascii="Times New Roman" w:eastAsia="Times New Roman" w:hAnsi="Times New Roman" w:cs="Times New Roman"/>
          <w:i/>
          <w:iCs/>
          <w:lang w:val="pt-PT"/>
        </w:rPr>
        <w:t>The origins of intelligence in children</w:t>
      </w:r>
      <w:r w:rsidRPr="007E2F26">
        <w:rPr>
          <w:rFonts w:ascii="Times New Roman" w:eastAsia="Times New Roman" w:hAnsi="Times New Roman" w:cs="Times New Roman"/>
          <w:lang w:val="pt-PT"/>
        </w:rPr>
        <w:t>. International Universities Press.</w:t>
      </w:r>
    </w:p>
    <w:p w14:paraId="3E0A890D" w14:textId="77777777" w:rsidR="0038108B" w:rsidRPr="007E2F26" w:rsidRDefault="0038108B" w:rsidP="0038108B">
      <w:pPr>
        <w:spacing w:before="100" w:beforeAutospacing="1" w:after="100" w:afterAutospacing="1" w:line="360" w:lineRule="auto"/>
        <w:jc w:val="both"/>
        <w:rPr>
          <w:rFonts w:ascii="Calibri" w:eastAsia="Calibri" w:hAnsi="Calibri" w:cs="Times New Roman"/>
          <w:kern w:val="2"/>
          <w:sz w:val="22"/>
          <w:szCs w:val="22"/>
          <w:lang w:val="pt-PT"/>
        </w:rPr>
      </w:pPr>
      <w:r w:rsidRPr="007E2F26">
        <w:rPr>
          <w:rFonts w:ascii="Times New Roman" w:eastAsia="Times New Roman" w:hAnsi="Times New Roman" w:cs="Times New Roman"/>
          <w:lang w:val="pt-PT"/>
        </w:rPr>
        <w:t>Richter, L. M., Black, M., Br</w:t>
      </w:r>
      <w:r w:rsidRPr="007E2F26">
        <w:rPr>
          <w:rFonts w:ascii="Times New Roman" w:eastAsia="Times New Roman" w:hAnsi="Times New Roman" w:cs="Times New Roman"/>
          <w:sz w:val="22"/>
          <w:szCs w:val="22"/>
          <w:lang w:val="pt-PT"/>
        </w:rPr>
        <w:t xml:space="preserve">itto, P., Daelmans, B., Desmond, C., Devercelli, A., Dua, T., Fink, G., Heymann, J., Lombardi, J., Lu, C., Naicker, S., &amp; Putnick, D. (2019). Early childhood development: An imperative for action and measurement at scale. </w:t>
      </w:r>
      <w:r w:rsidRPr="007E2F26">
        <w:rPr>
          <w:rFonts w:ascii="Times New Roman" w:eastAsia="Times New Roman" w:hAnsi="Times New Roman" w:cs="Times New Roman"/>
          <w:i/>
          <w:iCs/>
          <w:sz w:val="22"/>
          <w:szCs w:val="22"/>
          <w:lang w:val="pt-PT"/>
        </w:rPr>
        <w:t>BMJ Global Health, 4</w:t>
      </w:r>
      <w:r w:rsidRPr="007E2F26">
        <w:rPr>
          <w:rFonts w:ascii="Times New Roman" w:eastAsia="Times New Roman" w:hAnsi="Times New Roman" w:cs="Times New Roman"/>
          <w:sz w:val="22"/>
          <w:szCs w:val="22"/>
          <w:lang w:val="pt-PT"/>
        </w:rPr>
        <w:t xml:space="preserve">(Suppl. 4), e001302. </w:t>
      </w:r>
      <w:hyperlink r:id="rId18" w:history="1">
        <w:r w:rsidRPr="007E2F26">
          <w:rPr>
            <w:rFonts w:ascii="Times New Roman" w:eastAsia="Times New Roman" w:hAnsi="Times New Roman" w:cs="Times New Roman"/>
            <w:color w:val="0000FF"/>
            <w:sz w:val="22"/>
            <w:szCs w:val="22"/>
            <w:u w:val="single"/>
            <w:lang w:val="pt-PT"/>
          </w:rPr>
          <w:t>https://doi.org/10.1136/bmjgh-2018-001302</w:t>
        </w:r>
      </w:hyperlink>
    </w:p>
    <w:p w14:paraId="1E81F4D9" w14:textId="5B961470" w:rsidR="00874F1A" w:rsidRPr="007E2F26" w:rsidRDefault="00874F1A" w:rsidP="0038108B">
      <w:pPr>
        <w:spacing w:before="100" w:beforeAutospacing="1" w:after="100" w:afterAutospacing="1" w:line="360" w:lineRule="auto"/>
        <w:jc w:val="both"/>
        <w:rPr>
          <w:rFonts w:ascii="Times New Roman" w:eastAsia="Calibri" w:hAnsi="Times New Roman" w:cs="Times New Roman"/>
          <w:kern w:val="2"/>
          <w:sz w:val="22"/>
          <w:szCs w:val="22"/>
          <w:lang w:val="pt-PT"/>
        </w:rPr>
      </w:pPr>
      <w:r w:rsidRPr="007E2F26">
        <w:rPr>
          <w:rFonts w:ascii="Times New Roman" w:eastAsia="Calibri" w:hAnsi="Times New Roman" w:cs="Times New Roman"/>
          <w:kern w:val="2"/>
          <w:sz w:val="22"/>
          <w:szCs w:val="22"/>
          <w:lang w:val="pt-PT"/>
        </w:rPr>
        <w:t xml:space="preserve">Rogoff, B., Callanan, M., Gutiérrez, K. D., &amp; Erickson, F. (2016). The organization of informal learning. </w:t>
      </w:r>
      <w:r w:rsidRPr="007E2F26">
        <w:rPr>
          <w:rFonts w:ascii="Times New Roman" w:eastAsia="Calibri" w:hAnsi="Times New Roman" w:cs="Times New Roman"/>
          <w:i/>
          <w:iCs/>
          <w:kern w:val="2"/>
          <w:sz w:val="22"/>
          <w:szCs w:val="22"/>
          <w:lang w:val="pt-PT"/>
        </w:rPr>
        <w:t>Review of Research in Education,</w:t>
      </w:r>
      <w:r w:rsidRPr="007E2F26">
        <w:rPr>
          <w:rFonts w:ascii="Times New Roman" w:eastAsia="Calibri" w:hAnsi="Times New Roman" w:cs="Times New Roman"/>
          <w:kern w:val="2"/>
          <w:sz w:val="22"/>
          <w:szCs w:val="22"/>
          <w:lang w:val="pt-PT"/>
        </w:rPr>
        <w:t xml:space="preserve"> 40(1), 356–401. https://doi.org/10.3102/0091732X16680994</w:t>
      </w:r>
    </w:p>
    <w:p w14:paraId="353885E0" w14:textId="77777777" w:rsidR="0038108B" w:rsidRPr="007E2F26" w:rsidRDefault="0038108B" w:rsidP="0038108B">
      <w:pPr>
        <w:spacing w:before="100" w:beforeAutospacing="1" w:after="100" w:afterAutospacing="1" w:line="360" w:lineRule="auto"/>
        <w:jc w:val="both"/>
        <w:rPr>
          <w:rFonts w:ascii="Times New Roman" w:eastAsia="Times New Roman" w:hAnsi="Times New Roman" w:cs="Times New Roman"/>
          <w:sz w:val="22"/>
          <w:szCs w:val="22"/>
          <w:lang w:val="pt-PT"/>
        </w:rPr>
      </w:pPr>
      <w:r w:rsidRPr="007E2F26">
        <w:rPr>
          <w:rFonts w:ascii="Times New Roman" w:eastAsia="Times New Roman" w:hAnsi="Times New Roman" w:cs="Times New Roman"/>
          <w:sz w:val="22"/>
          <w:szCs w:val="22"/>
          <w:lang w:val="pt-PT"/>
        </w:rPr>
        <w:t>Rogoff, B. (2003). The cultural nature of human development. Oxford University Press.</w:t>
      </w:r>
    </w:p>
    <w:p w14:paraId="5474A729" w14:textId="77777777" w:rsidR="0038108B" w:rsidRPr="007E2F26" w:rsidRDefault="0038108B" w:rsidP="0038108B">
      <w:pPr>
        <w:spacing w:before="100" w:beforeAutospacing="1" w:after="100" w:afterAutospacing="1" w:line="360" w:lineRule="auto"/>
        <w:jc w:val="both"/>
        <w:rPr>
          <w:rFonts w:ascii="Calibri" w:eastAsia="Calibri" w:hAnsi="Calibri" w:cs="Times New Roman"/>
          <w:kern w:val="2"/>
          <w:sz w:val="22"/>
          <w:szCs w:val="22"/>
          <w:lang w:val="pt-PT"/>
        </w:rPr>
      </w:pPr>
      <w:r w:rsidRPr="007E2F26">
        <w:rPr>
          <w:rFonts w:ascii="Times New Roman" w:eastAsia="Times New Roman" w:hAnsi="Times New Roman" w:cs="Times New Roman"/>
          <w:sz w:val="22"/>
          <w:szCs w:val="22"/>
          <w:lang w:val="pt-PT"/>
        </w:rPr>
        <w:t xml:space="preserve">Serpell, R. (2022). African pathways to child development: Context, culture and education. </w:t>
      </w:r>
      <w:r w:rsidRPr="007E2F26">
        <w:rPr>
          <w:rFonts w:ascii="Times New Roman" w:eastAsia="Times New Roman" w:hAnsi="Times New Roman" w:cs="Times New Roman"/>
          <w:i/>
          <w:iCs/>
          <w:sz w:val="22"/>
          <w:szCs w:val="22"/>
          <w:lang w:val="pt-PT"/>
        </w:rPr>
        <w:t>International Review of Education, 68</w:t>
      </w:r>
      <w:r w:rsidRPr="007E2F26">
        <w:rPr>
          <w:rFonts w:ascii="Times New Roman" w:eastAsia="Times New Roman" w:hAnsi="Times New Roman" w:cs="Times New Roman"/>
          <w:sz w:val="22"/>
          <w:szCs w:val="22"/>
          <w:lang w:val="pt-PT"/>
        </w:rPr>
        <w:t xml:space="preserve">(4), 501–520. </w:t>
      </w:r>
      <w:hyperlink r:id="rId19" w:history="1">
        <w:r w:rsidRPr="007E2F26">
          <w:rPr>
            <w:rFonts w:ascii="Times New Roman" w:eastAsia="Times New Roman" w:hAnsi="Times New Roman" w:cs="Times New Roman"/>
            <w:color w:val="0000FF"/>
            <w:sz w:val="22"/>
            <w:szCs w:val="22"/>
            <w:u w:val="single"/>
            <w:lang w:val="pt-PT"/>
          </w:rPr>
          <w:t>https://doi.org/10.1007/s11159-022-09962-7</w:t>
        </w:r>
      </w:hyperlink>
    </w:p>
    <w:p w14:paraId="1A3D9FFF" w14:textId="77777777" w:rsidR="0038108B" w:rsidRPr="007E2F26" w:rsidRDefault="0038108B" w:rsidP="0038108B">
      <w:pPr>
        <w:spacing w:before="100" w:beforeAutospacing="1" w:after="100" w:afterAutospacing="1" w:line="360" w:lineRule="auto"/>
        <w:jc w:val="both"/>
        <w:rPr>
          <w:rFonts w:ascii="Times New Roman" w:eastAsia="Calibri" w:hAnsi="Times New Roman" w:cs="Times New Roman"/>
          <w:kern w:val="2"/>
          <w:sz w:val="22"/>
          <w:szCs w:val="22"/>
          <w:lang w:val="pt-PT"/>
        </w:rPr>
      </w:pPr>
      <w:r w:rsidRPr="00BC39EF">
        <w:rPr>
          <w:rFonts w:ascii="Times New Roman" w:eastAsia="Calibri" w:hAnsi="Times New Roman" w:cs="Times New Roman"/>
          <w:kern w:val="2"/>
          <w:sz w:val="22"/>
          <w:szCs w:val="22"/>
        </w:rPr>
        <w:t xml:space="preserve">Serpell, R., &amp; Marfo, K. (2014). Child development in Africa: Views from inside. </w:t>
      </w:r>
      <w:r w:rsidRPr="007E2F26">
        <w:rPr>
          <w:rFonts w:ascii="Times New Roman" w:eastAsia="Calibri" w:hAnsi="Times New Roman" w:cs="Times New Roman"/>
          <w:kern w:val="2"/>
          <w:sz w:val="22"/>
          <w:szCs w:val="22"/>
          <w:lang w:val="pt-PT"/>
        </w:rPr>
        <w:t xml:space="preserve">New Directions for Child and Adolescent Development, 2014(146), 1–8. </w:t>
      </w:r>
      <w:hyperlink r:id="rId20" w:history="1">
        <w:r w:rsidRPr="007E2F26">
          <w:rPr>
            <w:rFonts w:ascii="Times New Roman" w:eastAsia="Calibri" w:hAnsi="Times New Roman" w:cs="Times New Roman"/>
            <w:color w:val="0563C1"/>
            <w:kern w:val="2"/>
            <w:sz w:val="22"/>
            <w:szCs w:val="22"/>
            <w:u w:val="single"/>
            <w:lang w:val="pt-PT"/>
          </w:rPr>
          <w:t>https://doi.org/10.1002/cad.20073</w:t>
        </w:r>
      </w:hyperlink>
      <w:r w:rsidRPr="007E2F26">
        <w:rPr>
          <w:rFonts w:ascii="Times New Roman" w:eastAsia="Calibri" w:hAnsi="Times New Roman" w:cs="Times New Roman"/>
          <w:kern w:val="2"/>
          <w:sz w:val="22"/>
          <w:szCs w:val="22"/>
          <w:lang w:val="pt-PT"/>
        </w:rPr>
        <w:t xml:space="preserve"> </w:t>
      </w:r>
    </w:p>
    <w:p w14:paraId="492FB3C8" w14:textId="77777777" w:rsidR="0038108B" w:rsidRPr="007E2F26" w:rsidRDefault="0038108B" w:rsidP="0038108B">
      <w:pPr>
        <w:spacing w:before="100" w:beforeAutospacing="1" w:after="100" w:afterAutospacing="1" w:line="360" w:lineRule="auto"/>
        <w:jc w:val="both"/>
        <w:rPr>
          <w:rFonts w:ascii="Times New Roman" w:eastAsia="Times New Roman" w:hAnsi="Times New Roman" w:cs="Times New Roman"/>
          <w:sz w:val="22"/>
          <w:szCs w:val="22"/>
          <w:lang w:val="pt-PT"/>
        </w:rPr>
      </w:pPr>
      <w:r w:rsidRPr="007E2F26">
        <w:rPr>
          <w:rFonts w:ascii="Times New Roman" w:eastAsia="Times New Roman" w:hAnsi="Times New Roman" w:cs="Times New Roman"/>
          <w:sz w:val="22"/>
          <w:szCs w:val="22"/>
          <w:lang w:val="pt-PT"/>
        </w:rPr>
        <w:t>Spyrou, S. (2018). Disclosing childhoods: Research and knowledge production for a critical childhood studies. Palgrave Macmillan.</w:t>
      </w:r>
    </w:p>
    <w:p w14:paraId="4610D7B2" w14:textId="77777777" w:rsidR="0038108B" w:rsidRPr="007E2F26" w:rsidRDefault="0038108B" w:rsidP="0038108B">
      <w:pPr>
        <w:spacing w:before="100" w:beforeAutospacing="1" w:after="100" w:afterAutospacing="1" w:line="360" w:lineRule="auto"/>
        <w:jc w:val="both"/>
        <w:rPr>
          <w:rFonts w:ascii="Times New Roman" w:eastAsia="Times New Roman" w:hAnsi="Times New Roman" w:cs="Times New Roman"/>
          <w:sz w:val="22"/>
          <w:szCs w:val="22"/>
          <w:lang w:val="pt-PT"/>
        </w:rPr>
      </w:pPr>
      <w:r w:rsidRPr="007E2F26">
        <w:rPr>
          <w:rFonts w:ascii="Times New Roman" w:eastAsia="Times New Roman" w:hAnsi="Times New Roman" w:cs="Times New Roman"/>
          <w:sz w:val="22"/>
          <w:szCs w:val="22"/>
          <w:lang w:val="pt-PT"/>
        </w:rPr>
        <w:t xml:space="preserve">Steiner, R. (1996). </w:t>
      </w:r>
      <w:r w:rsidRPr="007E2F26">
        <w:rPr>
          <w:rFonts w:ascii="Times New Roman" w:eastAsia="Times New Roman" w:hAnsi="Times New Roman" w:cs="Times New Roman"/>
          <w:i/>
          <w:iCs/>
          <w:sz w:val="22"/>
          <w:szCs w:val="22"/>
          <w:lang w:val="pt-PT"/>
        </w:rPr>
        <w:t>The education of the child</w:t>
      </w:r>
      <w:r w:rsidRPr="007E2F26">
        <w:rPr>
          <w:rFonts w:ascii="Times New Roman" w:eastAsia="Times New Roman" w:hAnsi="Times New Roman" w:cs="Times New Roman"/>
          <w:sz w:val="22"/>
          <w:szCs w:val="22"/>
          <w:lang w:val="pt-PT"/>
        </w:rPr>
        <w:t>. Anthroposophic Press.</w:t>
      </w:r>
    </w:p>
    <w:p w14:paraId="0F2FB1EA" w14:textId="77777777" w:rsidR="0038108B" w:rsidRPr="007E2F26" w:rsidRDefault="0038108B" w:rsidP="0038108B">
      <w:pPr>
        <w:spacing w:before="100" w:beforeAutospacing="1" w:after="100" w:afterAutospacing="1" w:line="360" w:lineRule="auto"/>
        <w:jc w:val="both"/>
        <w:rPr>
          <w:rFonts w:ascii="Times New Roman" w:eastAsia="Times New Roman" w:hAnsi="Times New Roman" w:cs="Times New Roman"/>
          <w:sz w:val="22"/>
          <w:szCs w:val="22"/>
          <w:lang w:val="pt-PT"/>
        </w:rPr>
      </w:pPr>
      <w:r w:rsidRPr="007E2F26">
        <w:rPr>
          <w:rFonts w:ascii="Times New Roman" w:eastAsia="Times New Roman" w:hAnsi="Times New Roman" w:cs="Times New Roman"/>
          <w:sz w:val="22"/>
          <w:szCs w:val="22"/>
          <w:lang w:val="pt-PT"/>
        </w:rPr>
        <w:t>Twum-Danso Imoh, A. (2016). From the singular to the plural: Exploring diversities in contemporary childhoods in sub-Saharan Africa. Childhood, 23(4), 455–468.</w:t>
      </w:r>
    </w:p>
    <w:p w14:paraId="33C92737" w14:textId="77777777" w:rsidR="0038108B" w:rsidRPr="007E2F26" w:rsidRDefault="0038108B" w:rsidP="0038108B">
      <w:pPr>
        <w:spacing w:before="100" w:beforeAutospacing="1" w:after="100" w:afterAutospacing="1" w:line="360" w:lineRule="auto"/>
        <w:jc w:val="both"/>
        <w:rPr>
          <w:rFonts w:ascii="Times New Roman" w:eastAsia="Times New Roman" w:hAnsi="Times New Roman" w:cs="Times New Roman"/>
          <w:sz w:val="22"/>
          <w:szCs w:val="22"/>
          <w:lang w:val="pt-PT"/>
        </w:rPr>
      </w:pPr>
      <w:r w:rsidRPr="007E2F26">
        <w:rPr>
          <w:rFonts w:ascii="Times New Roman" w:eastAsia="Times New Roman" w:hAnsi="Times New Roman" w:cs="Times New Roman"/>
          <w:sz w:val="22"/>
          <w:szCs w:val="22"/>
          <w:lang w:val="pt-PT"/>
        </w:rPr>
        <w:t xml:space="preserve">Vygotsky, L. S. (1978). </w:t>
      </w:r>
      <w:r w:rsidRPr="007E2F26">
        <w:rPr>
          <w:rFonts w:ascii="Times New Roman" w:eastAsia="Times New Roman" w:hAnsi="Times New Roman" w:cs="Times New Roman"/>
          <w:i/>
          <w:iCs/>
          <w:sz w:val="22"/>
          <w:szCs w:val="22"/>
          <w:lang w:val="pt-PT"/>
        </w:rPr>
        <w:t>Mind in society: The development of higher psychological processes</w:t>
      </w:r>
      <w:r w:rsidRPr="007E2F26">
        <w:rPr>
          <w:rFonts w:ascii="Times New Roman" w:eastAsia="Times New Roman" w:hAnsi="Times New Roman" w:cs="Times New Roman"/>
          <w:sz w:val="22"/>
          <w:szCs w:val="22"/>
          <w:lang w:val="pt-PT"/>
        </w:rPr>
        <w:t>. Harvard University Press.</w:t>
      </w:r>
    </w:p>
    <w:p w14:paraId="5DDC0E05" w14:textId="025FE182" w:rsidR="00B10342" w:rsidRPr="007E2F26" w:rsidRDefault="0038108B" w:rsidP="00874F1A">
      <w:pPr>
        <w:spacing w:before="100" w:beforeAutospacing="1" w:after="100" w:afterAutospacing="1" w:line="360" w:lineRule="auto"/>
        <w:jc w:val="both"/>
        <w:rPr>
          <w:rFonts w:ascii="Times New Roman" w:eastAsia="Times New Roman" w:hAnsi="Times New Roman" w:cs="Times New Roman"/>
          <w:sz w:val="22"/>
          <w:szCs w:val="22"/>
          <w:lang w:val="pt-PT"/>
        </w:rPr>
      </w:pPr>
      <w:r w:rsidRPr="007E2F26">
        <w:rPr>
          <w:rFonts w:ascii="Times New Roman" w:eastAsia="Times New Roman" w:hAnsi="Times New Roman" w:cs="Times New Roman"/>
          <w:sz w:val="22"/>
          <w:szCs w:val="22"/>
          <w:lang w:val="pt-PT"/>
        </w:rPr>
        <w:lastRenderedPageBreak/>
        <w:t xml:space="preserve">World Health Organization, United Nations Children’s Fund, &amp; World Bank Group. (2018). </w:t>
      </w:r>
      <w:r w:rsidRPr="007E2F26">
        <w:rPr>
          <w:rFonts w:ascii="Times New Roman" w:eastAsia="Times New Roman" w:hAnsi="Times New Roman" w:cs="Times New Roman"/>
          <w:i/>
          <w:iCs/>
          <w:sz w:val="22"/>
          <w:szCs w:val="22"/>
          <w:lang w:val="pt-PT"/>
        </w:rPr>
        <w:t>Nurturing care for early childhood development: A framework for helping children survive and thrive to transform health and human potential</w:t>
      </w:r>
      <w:r w:rsidRPr="007E2F26">
        <w:rPr>
          <w:rFonts w:ascii="Times New Roman" w:eastAsia="Times New Roman" w:hAnsi="Times New Roman" w:cs="Times New Roman"/>
          <w:sz w:val="22"/>
          <w:szCs w:val="22"/>
          <w:lang w:val="pt-PT"/>
        </w:rPr>
        <w:t xml:space="preserve">. World Health Organization. </w:t>
      </w:r>
      <w:hyperlink r:id="rId21" w:history="1">
        <w:r w:rsidRPr="007E2F26">
          <w:rPr>
            <w:rFonts w:ascii="Times New Roman" w:eastAsia="Times New Roman" w:hAnsi="Times New Roman" w:cs="Times New Roman"/>
            <w:color w:val="0000FF"/>
            <w:sz w:val="22"/>
            <w:szCs w:val="22"/>
            <w:u w:val="single"/>
            <w:lang w:val="pt-PT"/>
          </w:rPr>
          <w:t>https://iris.who.int/handle/10665/272603</w:t>
        </w:r>
      </w:hyperlink>
    </w:p>
    <w:sectPr w:rsidR="00B10342" w:rsidRPr="007E2F26">
      <w:footerReference w:type="default" r:id="rId22"/>
      <w:footnotePr>
        <w:numRestart w:val="eachSect"/>
      </w:footnotePr>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4BF93E" w14:textId="77777777" w:rsidR="00DB4AEE" w:rsidRDefault="00DB4AEE" w:rsidP="00D86756">
      <w:pPr>
        <w:spacing w:after="0"/>
      </w:pPr>
      <w:r>
        <w:separator/>
      </w:r>
    </w:p>
  </w:endnote>
  <w:endnote w:type="continuationSeparator" w:id="0">
    <w:p w14:paraId="4B4644ED" w14:textId="77777777" w:rsidR="00DB4AEE" w:rsidRDefault="00DB4AEE" w:rsidP="00D8675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ptos">
    <w:altName w:val="Calibri"/>
    <w:charset w:val="00"/>
    <w:family w:val="swiss"/>
    <w:pitch w:val="variable"/>
    <w:sig w:usb0="20000287" w:usb1="00000003" w:usb2="00000000" w:usb3="00000000" w:csb0="0000019F" w:csb1="00000000"/>
  </w:font>
  <w:font w:name="Times New Roman">
    <w:altName w:val="Times New Roman PSMT"/>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6903912"/>
      <w:docPartObj>
        <w:docPartGallery w:val="Page Numbers (Bottom of Page)"/>
        <w:docPartUnique/>
      </w:docPartObj>
    </w:sdtPr>
    <w:sdtEndPr>
      <w:rPr>
        <w:noProof/>
      </w:rPr>
    </w:sdtEndPr>
    <w:sdtContent>
      <w:p w14:paraId="6D99A7C7" w14:textId="13291B03" w:rsidR="00D86756" w:rsidRDefault="00D86756">
        <w:pPr>
          <w:pStyle w:val="Footer"/>
          <w:jc w:val="center"/>
        </w:pPr>
        <w:r>
          <w:fldChar w:fldCharType="begin"/>
        </w:r>
        <w:r>
          <w:instrText xml:space="preserve"> PAGE   \* MERGEFORMAT </w:instrText>
        </w:r>
        <w:r>
          <w:fldChar w:fldCharType="separate"/>
        </w:r>
        <w:r w:rsidR="00BC39EF">
          <w:rPr>
            <w:noProof/>
          </w:rPr>
          <w:t>1</w:t>
        </w:r>
        <w:r>
          <w:rPr>
            <w:noProof/>
          </w:rPr>
          <w:fldChar w:fldCharType="end"/>
        </w:r>
      </w:p>
    </w:sdtContent>
  </w:sdt>
  <w:p w14:paraId="4D532D45" w14:textId="77777777" w:rsidR="00D86756" w:rsidRDefault="00D8675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1E4DAD" w14:textId="77777777" w:rsidR="00DB4AEE" w:rsidRDefault="00DB4AEE" w:rsidP="00D86756">
      <w:pPr>
        <w:spacing w:after="0"/>
      </w:pPr>
      <w:r>
        <w:separator/>
      </w:r>
    </w:p>
  </w:footnote>
  <w:footnote w:type="continuationSeparator" w:id="0">
    <w:p w14:paraId="511C2AE9" w14:textId="77777777" w:rsidR="00DB4AEE" w:rsidRDefault="00DB4AEE" w:rsidP="00D86756">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A990"/>
    <w:multiLevelType w:val="multilevel"/>
    <w:tmpl w:val="4AFE4DFA"/>
    <w:lvl w:ilvl="0">
      <w:numFmt w:val="bullet"/>
      <w:lvlText w:val=" "/>
      <w:lvlJc w:val="left"/>
      <w:pPr>
        <w:ind w:left="720" w:hanging="360"/>
      </w:pPr>
    </w:lvl>
    <w:lvl w:ilvl="1">
      <w:numFmt w:val="bullet"/>
      <w:lvlText w:val=" "/>
      <w:lvlJc w:val="left"/>
      <w:pPr>
        <w:ind w:left="1440" w:hanging="360"/>
      </w:pPr>
    </w:lvl>
    <w:lvl w:ilvl="2">
      <w:numFmt w:val="bullet"/>
      <w:lvlText w:val=" "/>
      <w:lvlJc w:val="left"/>
      <w:pPr>
        <w:ind w:left="2160" w:hanging="360"/>
      </w:pPr>
    </w:lvl>
    <w:lvl w:ilvl="3">
      <w:numFmt w:val="bullet"/>
      <w:lvlText w:val=" "/>
      <w:lvlJc w:val="left"/>
      <w:pPr>
        <w:ind w:left="2880" w:hanging="360"/>
      </w:pPr>
    </w:lvl>
    <w:lvl w:ilvl="4">
      <w:numFmt w:val="bullet"/>
      <w:lvlText w:val=" "/>
      <w:lvlJc w:val="left"/>
      <w:pPr>
        <w:ind w:left="3600" w:hanging="360"/>
      </w:pPr>
    </w:lvl>
    <w:lvl w:ilvl="5">
      <w:numFmt w:val="bullet"/>
      <w:lvlText w:val=" "/>
      <w:lvlJc w:val="left"/>
      <w:pPr>
        <w:ind w:left="4320" w:hanging="360"/>
      </w:pPr>
    </w:lvl>
    <w:lvl w:ilvl="6">
      <w:numFmt w:val="bullet"/>
      <w:lvlText w:val=" "/>
      <w:lvlJc w:val="left"/>
      <w:pPr>
        <w:ind w:left="5040" w:hanging="360"/>
      </w:pPr>
    </w:lvl>
    <w:lvl w:ilvl="7">
      <w:numFmt w:val="bullet"/>
      <w:lvlText w:val=" "/>
      <w:lvlJc w:val="left"/>
      <w:pPr>
        <w:ind w:left="5760" w:hanging="360"/>
      </w:pPr>
    </w:lvl>
    <w:lvl w:ilvl="8">
      <w:numFmt w:val="bullet"/>
      <w:lvlText w:val=" "/>
      <w:lvlJc w:val="left"/>
      <w:pPr>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drawingGridHorizontalSpacing w:val="360"/>
  <w:drawingGridVerticalSpacing w:val="360"/>
  <w:displayHorizontalDrawingGridEvery w:val="0"/>
  <w:displayVerticalDrawingGridEvery w:val="0"/>
  <w:characterSpacingControl w:val="doNotCompress"/>
  <w:footnotePr>
    <w:numRestart w:val="eachSec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2F84"/>
    <w:rsid w:val="000E2F84"/>
    <w:rsid w:val="001933EC"/>
    <w:rsid w:val="0019370D"/>
    <w:rsid w:val="001A5E93"/>
    <w:rsid w:val="001C5098"/>
    <w:rsid w:val="00297178"/>
    <w:rsid w:val="002E04EA"/>
    <w:rsid w:val="00312D73"/>
    <w:rsid w:val="00367F54"/>
    <w:rsid w:val="0038108B"/>
    <w:rsid w:val="004B0F70"/>
    <w:rsid w:val="004B7E26"/>
    <w:rsid w:val="005C2696"/>
    <w:rsid w:val="0073512C"/>
    <w:rsid w:val="007B2FBF"/>
    <w:rsid w:val="007E2F26"/>
    <w:rsid w:val="00874F1A"/>
    <w:rsid w:val="008D2417"/>
    <w:rsid w:val="009D115D"/>
    <w:rsid w:val="00B10342"/>
    <w:rsid w:val="00BC39EF"/>
    <w:rsid w:val="00BD01CB"/>
    <w:rsid w:val="00CB46A4"/>
    <w:rsid w:val="00D86756"/>
    <w:rsid w:val="00DB4AEE"/>
    <w:rsid w:val="00DC219E"/>
    <w:rsid w:val="00DE0CE2"/>
    <w:rsid w:val="00E02CC0"/>
    <w:rsid w:val="00F24DB9"/>
    <w:rsid w:val="00FE3C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5808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67">
    <w:lsdException w:name="footer"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atentStyles>
  <w:style w:type="paragraph" w:default="1" w:styleId="Normal">
    <w:name w:val="Normal"/>
    <w:qFormat/>
  </w:style>
  <w:style w:type="paragraph" w:styleId="Heading1">
    <w:name w:val="heading 1"/>
    <w:basedOn w:val="Normal"/>
    <w:next w:val="BodyText"/>
    <w:link w:val="Heading1Char"/>
    <w:uiPriority w:val="9"/>
    <w:qFormat/>
    <w:rsid w:val="00A10FD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BodyText"/>
    <w:link w:val="Heading2Char"/>
    <w:uiPriority w:val="9"/>
    <w:semiHidden/>
    <w:unhideWhenUsed/>
    <w:qFormat/>
    <w:rsid w:val="00A10FD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BodyText"/>
    <w:link w:val="Heading3Char"/>
    <w:uiPriority w:val="9"/>
    <w:semiHidden/>
    <w:unhideWhenUsed/>
    <w:qFormat/>
    <w:rsid w:val="00A10FD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BodyText"/>
    <w:link w:val="Heading4Char"/>
    <w:uiPriority w:val="9"/>
    <w:semiHidden/>
    <w:unhideWhenUsed/>
    <w:qFormat/>
    <w:rsid w:val="00A10FD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BodyText"/>
    <w:link w:val="Heading5Char"/>
    <w:uiPriority w:val="9"/>
    <w:semiHidden/>
    <w:unhideWhenUsed/>
    <w:qFormat/>
    <w:rsid w:val="00A10FD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BodyText"/>
    <w:link w:val="Heading6Char"/>
    <w:uiPriority w:val="9"/>
    <w:semiHidden/>
    <w:unhideWhenUsed/>
    <w:qFormat/>
    <w:rsid w:val="00A10FD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BodyText"/>
    <w:link w:val="Heading7Char"/>
    <w:uiPriority w:val="9"/>
    <w:semiHidden/>
    <w:unhideWhenUsed/>
    <w:qFormat/>
    <w:rsid w:val="00A10FD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BodyText"/>
    <w:link w:val="Heading8Char"/>
    <w:uiPriority w:val="9"/>
    <w:semiHidden/>
    <w:unhideWhenUsed/>
    <w:qFormat/>
    <w:rsid w:val="00A10FD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BodyText"/>
    <w:link w:val="Heading9Char"/>
    <w:uiPriority w:val="9"/>
    <w:semiHidden/>
    <w:unhideWhenUsed/>
    <w:qFormat/>
    <w:rsid w:val="00A10FD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qFormat/>
    <w:pPr>
      <w:spacing w:before="180" w:after="180"/>
    </w:p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link w:val="TitleChar"/>
    <w:uiPriority w:val="10"/>
    <w:qFormat/>
    <w:rsid w:val="00A10FD9"/>
    <w:pPr>
      <w:spacing w:after="80"/>
      <w:contextualSpacing/>
      <w:jc w:val="center"/>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10FD9"/>
    <w:rPr>
      <w:rFonts w:asciiTheme="majorHAnsi" w:eastAsiaTheme="majorEastAsia" w:hAnsiTheme="majorHAnsi" w:cstheme="majorBidi"/>
      <w:spacing w:val="-10"/>
      <w:kern w:val="28"/>
      <w:sz w:val="56"/>
      <w:szCs w:val="56"/>
    </w:rPr>
  </w:style>
  <w:style w:type="paragraph" w:styleId="Subtitle">
    <w:name w:val="Subtitle"/>
    <w:basedOn w:val="Title"/>
    <w:next w:val="BodyText"/>
    <w:link w:val="SubtitleChar"/>
    <w:uiPriority w:val="11"/>
    <w:qFormat/>
    <w:rsid w:val="00A10FD9"/>
    <w:pPr>
      <w:numPr>
        <w:ilvl w:val="1"/>
      </w:numPr>
    </w:pPr>
    <w:rPr>
      <w:spacing w:val="15"/>
      <w:sz w:val="28"/>
      <w:szCs w:val="28"/>
    </w:rPr>
  </w:style>
  <w:style w:type="character" w:customStyle="1" w:styleId="SubtitleChar">
    <w:name w:val="Subtitle Char"/>
    <w:basedOn w:val="DefaultParagraphFont"/>
    <w:link w:val="Subtitle"/>
    <w:uiPriority w:val="11"/>
    <w:rsid w:val="00A10FD9"/>
    <w:rPr>
      <w:rFonts w:eastAsiaTheme="majorEastAsia" w:cstheme="majorBidi"/>
      <w:color w:val="595959" w:themeColor="text1" w:themeTint="A6"/>
      <w:spacing w:val="15"/>
      <w:sz w:val="28"/>
      <w:szCs w:val="28"/>
    </w:rPr>
  </w:style>
  <w:style w:type="paragraph" w:customStyle="1" w:styleId="Author">
    <w:name w:val="Author"/>
    <w:next w:val="BodyText"/>
    <w:qFormat/>
    <w:pPr>
      <w:keepNext/>
      <w:keepLines/>
      <w:jc w:val="center"/>
    </w:pPr>
  </w:style>
  <w:style w:type="paragraph" w:styleId="Date">
    <w:name w:val="Date"/>
    <w:next w:val="BodyText"/>
    <w:qFormat/>
    <w:pPr>
      <w:keepNext/>
      <w:keepLines/>
      <w:jc w:val="center"/>
    </w:pPr>
  </w:style>
  <w:style w:type="paragraph" w:customStyle="1" w:styleId="AbstractTitle">
    <w:name w:val="Abstract Title"/>
    <w:basedOn w:val="Normal"/>
    <w:next w:val="Abstract"/>
    <w:qFormat/>
    <w:pPr>
      <w:keepNext/>
      <w:keepLines/>
      <w:spacing w:before="300" w:after="0"/>
      <w:jc w:val="center"/>
    </w:pPr>
    <w:rPr>
      <w:b/>
      <w:sz w:val="20"/>
      <w:szCs w:val="20"/>
    </w:rPr>
  </w:style>
  <w:style w:type="paragraph" w:customStyle="1" w:styleId="Abstract">
    <w:name w:val="Abstract"/>
    <w:basedOn w:val="Normal"/>
    <w:next w:val="BodyText"/>
    <w:qFormat/>
    <w:pPr>
      <w:keepNext/>
      <w:keepLines/>
      <w:spacing w:before="100" w:after="300"/>
    </w:pPr>
    <w:rPr>
      <w:sz w:val="20"/>
      <w:szCs w:val="20"/>
    </w:rPr>
  </w:style>
  <w:style w:type="paragraph" w:styleId="Bibliography">
    <w:name w:val="Bibliography"/>
    <w:basedOn w:val="Normal"/>
    <w:qFormat/>
  </w:style>
  <w:style w:type="character" w:customStyle="1" w:styleId="Heading1Char">
    <w:name w:val="Heading 1 Char"/>
    <w:basedOn w:val="DefaultParagraphFont"/>
    <w:link w:val="Heading1"/>
    <w:uiPriority w:val="9"/>
    <w:rsid w:val="00A10FD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10FD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10FD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10FD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10FD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10FD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10FD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10FD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10FD9"/>
    <w:rPr>
      <w:rFonts w:eastAsiaTheme="majorEastAsia" w:cstheme="majorBidi"/>
      <w:color w:val="272727" w:themeColor="text1" w:themeTint="D8"/>
    </w:rPr>
  </w:style>
  <w:style w:type="paragraph" w:styleId="BlockText">
    <w:name w:val="Block Text"/>
    <w:basedOn w:val="BodyText"/>
    <w:next w:val="BodyText"/>
    <w:uiPriority w:val="9"/>
    <w:unhideWhenUsed/>
    <w:qFormat/>
    <w:pPr>
      <w:spacing w:before="100" w:after="100"/>
      <w:ind w:left="480" w:right="480"/>
    </w:pPr>
  </w:style>
  <w:style w:type="paragraph" w:styleId="FootnoteText">
    <w:name w:val="footnote text"/>
    <w:basedOn w:val="Normal"/>
    <w:uiPriority w:val="9"/>
    <w:unhideWhenUsed/>
    <w:qFormat/>
  </w:style>
  <w:style w:type="paragraph" w:customStyle="1" w:styleId="FootnoteBlockText">
    <w:name w:val="Footnote Block Text"/>
    <w:basedOn w:val="FootnoteText"/>
    <w:next w:val="FootnoteText"/>
    <w:uiPriority w:val="9"/>
    <w:unhideWhenUsed/>
    <w:qFormat/>
    <w:pPr>
      <w:spacing w:before="100" w:after="100"/>
      <w:ind w:left="480" w:right="480"/>
    </w:pPr>
  </w:style>
  <w:style w:type="table" w:customStyle="1" w:styleId="Table">
    <w:name w:val="Table"/>
    <w:semiHidden/>
    <w:unhideWhenUsed/>
    <w:qFormat/>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CaptionChar"/>
    <w:pPr>
      <w:spacing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CaptionedFigure">
    <w:name w:val="Captioned Figure"/>
    <w:basedOn w:val="Figure"/>
    <w:pPr>
      <w:keepNext/>
    </w:pPr>
  </w:style>
  <w:style w:type="character" w:customStyle="1" w:styleId="CaptionChar">
    <w:name w:val="Caption Char"/>
    <w:basedOn w:val="DefaultParagraphFont"/>
    <w:link w:val="Caption"/>
  </w:style>
  <w:style w:type="character" w:customStyle="1" w:styleId="VerbatimChar">
    <w:name w:val="Verbatim Char"/>
    <w:basedOn w:val="CaptionChar"/>
    <w:link w:val="SourceCode"/>
    <w:rPr>
      <w:rFonts w:ascii="Consolas" w:hAnsi="Consolas"/>
      <w:sz w:val="22"/>
    </w:rPr>
  </w:style>
  <w:style w:type="character" w:customStyle="1" w:styleId="SectionNumber">
    <w:name w:val="Section Number"/>
    <w:basedOn w:val="CaptionChar"/>
  </w:style>
  <w:style w:type="character" w:styleId="FootnoteReference">
    <w:name w:val="footnote reference"/>
    <w:basedOn w:val="CaptionChar"/>
    <w:rPr>
      <w:vertAlign w:val="superscript"/>
    </w:rPr>
  </w:style>
  <w:style w:type="character" w:styleId="Hyperlink">
    <w:name w:val="Hyperlink"/>
    <w:basedOn w:val="CaptionChar"/>
    <w:rPr>
      <w:color w:val="156082" w:themeColor="accent1"/>
    </w:rPr>
  </w:style>
  <w:style w:type="paragraph" w:styleId="TOCHeading">
    <w:name w:val="TOC Heading"/>
    <w:basedOn w:val="Heading1"/>
    <w:next w:val="BodyText"/>
    <w:uiPriority w:val="39"/>
    <w:unhideWhenUsed/>
    <w:qFormat/>
    <w:pPr>
      <w:spacing w:before="240" w:line="259" w:lineRule="auto"/>
      <w:outlineLvl w:val="9"/>
    </w:pPr>
  </w:style>
  <w:style w:type="paragraph" w:customStyle="1" w:styleId="SourceCode">
    <w:name w:val="Source Code"/>
    <w:basedOn w:val="Normal"/>
    <w:link w:val="VerbatimChar"/>
    <w:pPr>
      <w:wordWrap w:val="0"/>
    </w:pPr>
  </w:style>
  <w:style w:type="character" w:customStyle="1" w:styleId="KeywordTok">
    <w:name w:val="KeywordTok"/>
    <w:basedOn w:val="VerbatimChar"/>
    <w:rPr>
      <w:rFonts w:ascii="Consolas" w:hAnsi="Consolas"/>
      <w:b/>
      <w:color w:val="007020"/>
      <w:sz w:val="22"/>
    </w:rPr>
  </w:style>
  <w:style w:type="character" w:customStyle="1" w:styleId="DataTypeTok">
    <w:name w:val="DataTypeTok"/>
    <w:basedOn w:val="VerbatimChar"/>
    <w:rPr>
      <w:rFonts w:ascii="Consolas" w:hAnsi="Consolas"/>
      <w:color w:val="902000"/>
      <w:sz w:val="22"/>
    </w:rPr>
  </w:style>
  <w:style w:type="character" w:customStyle="1" w:styleId="DecValTok">
    <w:name w:val="DecValTok"/>
    <w:basedOn w:val="VerbatimChar"/>
    <w:rPr>
      <w:rFonts w:ascii="Consolas" w:hAnsi="Consolas"/>
      <w:color w:val="40A070"/>
      <w:sz w:val="22"/>
    </w:rPr>
  </w:style>
  <w:style w:type="character" w:customStyle="1" w:styleId="BaseNTok">
    <w:name w:val="BaseNTok"/>
    <w:basedOn w:val="VerbatimChar"/>
    <w:rPr>
      <w:rFonts w:ascii="Consolas" w:hAnsi="Consolas"/>
      <w:color w:val="40A070"/>
      <w:sz w:val="22"/>
    </w:rPr>
  </w:style>
  <w:style w:type="character" w:customStyle="1" w:styleId="FloatTok">
    <w:name w:val="FloatTok"/>
    <w:basedOn w:val="VerbatimChar"/>
    <w:rPr>
      <w:rFonts w:ascii="Consolas" w:hAnsi="Consolas"/>
      <w:color w:val="40A070"/>
      <w:sz w:val="22"/>
    </w:rPr>
  </w:style>
  <w:style w:type="character" w:customStyle="1" w:styleId="ConstantTok">
    <w:name w:val="ConstantTok"/>
    <w:basedOn w:val="VerbatimChar"/>
    <w:rPr>
      <w:rFonts w:ascii="Consolas" w:hAnsi="Consolas"/>
      <w:color w:val="880000"/>
      <w:sz w:val="22"/>
    </w:rPr>
  </w:style>
  <w:style w:type="character" w:customStyle="1" w:styleId="CharTok">
    <w:name w:val="CharTok"/>
    <w:basedOn w:val="VerbatimChar"/>
    <w:rPr>
      <w:rFonts w:ascii="Consolas" w:hAnsi="Consolas"/>
      <w:color w:val="4070A0"/>
      <w:sz w:val="22"/>
    </w:rPr>
  </w:style>
  <w:style w:type="character" w:customStyle="1" w:styleId="SpecialCharTok">
    <w:name w:val="SpecialCharTok"/>
    <w:basedOn w:val="VerbatimChar"/>
    <w:rPr>
      <w:rFonts w:ascii="Consolas" w:hAnsi="Consolas"/>
      <w:color w:val="4070A0"/>
      <w:sz w:val="22"/>
    </w:rPr>
  </w:style>
  <w:style w:type="character" w:customStyle="1" w:styleId="StringTok">
    <w:name w:val="StringTok"/>
    <w:basedOn w:val="VerbatimChar"/>
    <w:rPr>
      <w:rFonts w:ascii="Consolas" w:hAnsi="Consolas"/>
      <w:color w:val="4070A0"/>
      <w:sz w:val="22"/>
    </w:rPr>
  </w:style>
  <w:style w:type="character" w:customStyle="1" w:styleId="VerbatimStringTok">
    <w:name w:val="VerbatimStringTok"/>
    <w:basedOn w:val="VerbatimChar"/>
    <w:rPr>
      <w:rFonts w:ascii="Consolas" w:hAnsi="Consolas"/>
      <w:color w:val="4070A0"/>
      <w:sz w:val="22"/>
    </w:rPr>
  </w:style>
  <w:style w:type="character" w:customStyle="1" w:styleId="SpecialStringTok">
    <w:name w:val="SpecialStringTok"/>
    <w:basedOn w:val="VerbatimChar"/>
    <w:rPr>
      <w:rFonts w:ascii="Consolas" w:hAnsi="Consolas"/>
      <w:color w:val="BB6688"/>
      <w:sz w:val="22"/>
    </w:rPr>
  </w:style>
  <w:style w:type="character" w:customStyle="1" w:styleId="ImportTok">
    <w:name w:val="ImportTok"/>
    <w:basedOn w:val="VerbatimChar"/>
    <w:rPr>
      <w:rFonts w:ascii="Consolas" w:hAnsi="Consolas"/>
      <w:b/>
      <w:color w:val="008000"/>
      <w:sz w:val="22"/>
    </w:rPr>
  </w:style>
  <w:style w:type="character" w:customStyle="1" w:styleId="CommentTok">
    <w:name w:val="CommentTok"/>
    <w:basedOn w:val="VerbatimChar"/>
    <w:rPr>
      <w:rFonts w:ascii="Consolas" w:hAnsi="Consolas"/>
      <w:i/>
      <w:color w:val="60A0B0"/>
      <w:sz w:val="22"/>
    </w:rPr>
  </w:style>
  <w:style w:type="character" w:customStyle="1" w:styleId="DocumentationTok">
    <w:name w:val="DocumentationTok"/>
    <w:basedOn w:val="VerbatimChar"/>
    <w:rPr>
      <w:rFonts w:ascii="Consolas" w:hAnsi="Consolas"/>
      <w:i/>
      <w:color w:val="BA2121"/>
      <w:sz w:val="22"/>
    </w:rPr>
  </w:style>
  <w:style w:type="character" w:customStyle="1" w:styleId="AnnotationTok">
    <w:name w:val="AnnotationTok"/>
    <w:basedOn w:val="VerbatimChar"/>
    <w:rPr>
      <w:rFonts w:ascii="Consolas" w:hAnsi="Consolas"/>
      <w:b/>
      <w:i/>
      <w:color w:val="60A0B0"/>
      <w:sz w:val="22"/>
    </w:rPr>
  </w:style>
  <w:style w:type="character" w:customStyle="1" w:styleId="CommentVarTok">
    <w:name w:val="CommentVarTok"/>
    <w:basedOn w:val="VerbatimChar"/>
    <w:rPr>
      <w:rFonts w:ascii="Consolas" w:hAnsi="Consolas"/>
      <w:b/>
      <w:i/>
      <w:color w:val="60A0B0"/>
      <w:sz w:val="22"/>
    </w:rPr>
  </w:style>
  <w:style w:type="character" w:customStyle="1" w:styleId="OtherTok">
    <w:name w:val="OtherTok"/>
    <w:basedOn w:val="VerbatimChar"/>
    <w:rPr>
      <w:rFonts w:ascii="Consolas" w:hAnsi="Consolas"/>
      <w:color w:val="007020"/>
      <w:sz w:val="22"/>
    </w:rPr>
  </w:style>
  <w:style w:type="character" w:customStyle="1" w:styleId="FunctionTok">
    <w:name w:val="FunctionTok"/>
    <w:basedOn w:val="VerbatimChar"/>
    <w:rPr>
      <w:rFonts w:ascii="Consolas" w:hAnsi="Consolas"/>
      <w:color w:val="06287E"/>
      <w:sz w:val="22"/>
    </w:rPr>
  </w:style>
  <w:style w:type="character" w:customStyle="1" w:styleId="VariableTok">
    <w:name w:val="VariableTok"/>
    <w:basedOn w:val="VerbatimChar"/>
    <w:rPr>
      <w:rFonts w:ascii="Consolas" w:hAnsi="Consolas"/>
      <w:color w:val="19177C"/>
      <w:sz w:val="22"/>
    </w:rPr>
  </w:style>
  <w:style w:type="character" w:customStyle="1" w:styleId="ControlFlowTok">
    <w:name w:val="ControlFlowTok"/>
    <w:basedOn w:val="VerbatimChar"/>
    <w:rPr>
      <w:rFonts w:ascii="Consolas" w:hAnsi="Consolas"/>
      <w:b/>
      <w:color w:val="007020"/>
      <w:sz w:val="22"/>
    </w:rPr>
  </w:style>
  <w:style w:type="character" w:customStyle="1" w:styleId="OperatorTok">
    <w:name w:val="OperatorTok"/>
    <w:basedOn w:val="VerbatimChar"/>
    <w:rPr>
      <w:rFonts w:ascii="Consolas" w:hAnsi="Consolas"/>
      <w:color w:val="666666"/>
      <w:sz w:val="22"/>
    </w:rPr>
  </w:style>
  <w:style w:type="character" w:customStyle="1" w:styleId="BuiltInTok">
    <w:name w:val="BuiltInTok"/>
    <w:basedOn w:val="VerbatimChar"/>
    <w:rPr>
      <w:rFonts w:ascii="Consolas" w:hAnsi="Consolas"/>
      <w:color w:val="008000"/>
      <w:sz w:val="22"/>
    </w:rPr>
  </w:style>
  <w:style w:type="character" w:customStyle="1" w:styleId="ExtensionTok">
    <w:name w:val="ExtensionTok"/>
    <w:basedOn w:val="VerbatimChar"/>
    <w:rPr>
      <w:rFonts w:ascii="Consolas" w:hAnsi="Consolas"/>
      <w:sz w:val="22"/>
    </w:rPr>
  </w:style>
  <w:style w:type="character" w:customStyle="1" w:styleId="PreprocessorTok">
    <w:name w:val="PreprocessorTok"/>
    <w:basedOn w:val="VerbatimChar"/>
    <w:rPr>
      <w:rFonts w:ascii="Consolas" w:hAnsi="Consolas"/>
      <w:color w:val="BC7A00"/>
      <w:sz w:val="22"/>
    </w:rPr>
  </w:style>
  <w:style w:type="character" w:customStyle="1" w:styleId="AttributeTok">
    <w:name w:val="AttributeTok"/>
    <w:basedOn w:val="VerbatimChar"/>
    <w:rPr>
      <w:rFonts w:ascii="Consolas" w:hAnsi="Consolas"/>
      <w:color w:val="7D9029"/>
      <w:sz w:val="22"/>
    </w:rPr>
  </w:style>
  <w:style w:type="character" w:customStyle="1" w:styleId="RegionMarkerTok">
    <w:name w:val="RegionMarkerTok"/>
    <w:basedOn w:val="VerbatimChar"/>
    <w:rPr>
      <w:rFonts w:ascii="Consolas" w:hAnsi="Consolas"/>
      <w:sz w:val="22"/>
    </w:rPr>
  </w:style>
  <w:style w:type="character" w:customStyle="1" w:styleId="InformationTok">
    <w:name w:val="InformationTok"/>
    <w:basedOn w:val="VerbatimChar"/>
    <w:rPr>
      <w:rFonts w:ascii="Consolas" w:hAnsi="Consolas"/>
      <w:b/>
      <w:i/>
      <w:color w:val="60A0B0"/>
      <w:sz w:val="22"/>
    </w:rPr>
  </w:style>
  <w:style w:type="character" w:customStyle="1" w:styleId="WarningTok">
    <w:name w:val="WarningTok"/>
    <w:basedOn w:val="VerbatimChar"/>
    <w:rPr>
      <w:rFonts w:ascii="Consolas" w:hAnsi="Consolas"/>
      <w:b/>
      <w:i/>
      <w:color w:val="60A0B0"/>
      <w:sz w:val="22"/>
    </w:rPr>
  </w:style>
  <w:style w:type="character" w:customStyle="1" w:styleId="AlertTok">
    <w:name w:val="AlertTok"/>
    <w:basedOn w:val="VerbatimChar"/>
    <w:rPr>
      <w:rFonts w:ascii="Consolas" w:hAnsi="Consolas"/>
      <w:b/>
      <w:color w:val="FF0000"/>
      <w:sz w:val="22"/>
    </w:rPr>
  </w:style>
  <w:style w:type="character" w:customStyle="1" w:styleId="ErrorTok">
    <w:name w:val="ErrorTok"/>
    <w:basedOn w:val="VerbatimChar"/>
    <w:rPr>
      <w:rFonts w:ascii="Consolas" w:hAnsi="Consolas"/>
      <w:b/>
      <w:color w:val="FF0000"/>
      <w:sz w:val="22"/>
    </w:rPr>
  </w:style>
  <w:style w:type="character" w:customStyle="1" w:styleId="NormalTok">
    <w:name w:val="NormalTok"/>
    <w:basedOn w:val="VerbatimChar"/>
    <w:rPr>
      <w:rFonts w:ascii="Consolas" w:hAnsi="Consolas"/>
      <w:sz w:val="22"/>
    </w:rPr>
  </w:style>
  <w:style w:type="paragraph" w:styleId="Header">
    <w:name w:val="header"/>
    <w:basedOn w:val="Normal"/>
    <w:link w:val="HeaderChar"/>
    <w:rsid w:val="00D86756"/>
    <w:pPr>
      <w:tabs>
        <w:tab w:val="center" w:pos="4680"/>
        <w:tab w:val="right" w:pos="9360"/>
      </w:tabs>
      <w:spacing w:after="0"/>
    </w:pPr>
  </w:style>
  <w:style w:type="character" w:customStyle="1" w:styleId="HeaderChar">
    <w:name w:val="Header Char"/>
    <w:basedOn w:val="DefaultParagraphFont"/>
    <w:link w:val="Header"/>
    <w:rsid w:val="00D86756"/>
  </w:style>
  <w:style w:type="paragraph" w:styleId="Footer">
    <w:name w:val="footer"/>
    <w:basedOn w:val="Normal"/>
    <w:link w:val="FooterChar"/>
    <w:uiPriority w:val="99"/>
    <w:rsid w:val="00D86756"/>
    <w:pPr>
      <w:tabs>
        <w:tab w:val="center" w:pos="4680"/>
        <w:tab w:val="right" w:pos="9360"/>
      </w:tabs>
      <w:spacing w:after="0"/>
    </w:pPr>
  </w:style>
  <w:style w:type="character" w:customStyle="1" w:styleId="FooterChar">
    <w:name w:val="Footer Char"/>
    <w:basedOn w:val="DefaultParagraphFont"/>
    <w:link w:val="Footer"/>
    <w:uiPriority w:val="99"/>
    <w:rsid w:val="00D86756"/>
  </w:style>
  <w:style w:type="character" w:customStyle="1" w:styleId="UnresolvedMention">
    <w:name w:val="Unresolved Mention"/>
    <w:basedOn w:val="DefaultParagraphFont"/>
    <w:uiPriority w:val="99"/>
    <w:semiHidden/>
    <w:unhideWhenUsed/>
    <w:rsid w:val="00FE3CC0"/>
    <w:rPr>
      <w:color w:val="605E5C"/>
      <w:shd w:val="clear" w:color="auto" w:fill="E1DFDD"/>
    </w:rPr>
  </w:style>
  <w:style w:type="paragraph" w:styleId="BalloonText">
    <w:name w:val="Balloon Text"/>
    <w:basedOn w:val="Normal"/>
    <w:link w:val="BalloonTextChar"/>
    <w:rsid w:val="00312D73"/>
    <w:pPr>
      <w:spacing w:after="0"/>
    </w:pPr>
    <w:rPr>
      <w:rFonts w:ascii="Segoe UI" w:hAnsi="Segoe UI" w:cs="Segoe UI"/>
      <w:sz w:val="18"/>
      <w:szCs w:val="18"/>
    </w:rPr>
  </w:style>
  <w:style w:type="character" w:customStyle="1" w:styleId="BalloonTextChar">
    <w:name w:val="Balloon Text Char"/>
    <w:basedOn w:val="DefaultParagraphFont"/>
    <w:link w:val="BalloonText"/>
    <w:rsid w:val="00312D73"/>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67">
    <w:lsdException w:name="footer"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atentStyles>
  <w:style w:type="paragraph" w:default="1" w:styleId="Normal">
    <w:name w:val="Normal"/>
    <w:qFormat/>
  </w:style>
  <w:style w:type="paragraph" w:styleId="Heading1">
    <w:name w:val="heading 1"/>
    <w:basedOn w:val="Normal"/>
    <w:next w:val="BodyText"/>
    <w:link w:val="Heading1Char"/>
    <w:uiPriority w:val="9"/>
    <w:qFormat/>
    <w:rsid w:val="00A10FD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BodyText"/>
    <w:link w:val="Heading2Char"/>
    <w:uiPriority w:val="9"/>
    <w:semiHidden/>
    <w:unhideWhenUsed/>
    <w:qFormat/>
    <w:rsid w:val="00A10FD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BodyText"/>
    <w:link w:val="Heading3Char"/>
    <w:uiPriority w:val="9"/>
    <w:semiHidden/>
    <w:unhideWhenUsed/>
    <w:qFormat/>
    <w:rsid w:val="00A10FD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BodyText"/>
    <w:link w:val="Heading4Char"/>
    <w:uiPriority w:val="9"/>
    <w:semiHidden/>
    <w:unhideWhenUsed/>
    <w:qFormat/>
    <w:rsid w:val="00A10FD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BodyText"/>
    <w:link w:val="Heading5Char"/>
    <w:uiPriority w:val="9"/>
    <w:semiHidden/>
    <w:unhideWhenUsed/>
    <w:qFormat/>
    <w:rsid w:val="00A10FD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BodyText"/>
    <w:link w:val="Heading6Char"/>
    <w:uiPriority w:val="9"/>
    <w:semiHidden/>
    <w:unhideWhenUsed/>
    <w:qFormat/>
    <w:rsid w:val="00A10FD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BodyText"/>
    <w:link w:val="Heading7Char"/>
    <w:uiPriority w:val="9"/>
    <w:semiHidden/>
    <w:unhideWhenUsed/>
    <w:qFormat/>
    <w:rsid w:val="00A10FD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BodyText"/>
    <w:link w:val="Heading8Char"/>
    <w:uiPriority w:val="9"/>
    <w:semiHidden/>
    <w:unhideWhenUsed/>
    <w:qFormat/>
    <w:rsid w:val="00A10FD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BodyText"/>
    <w:link w:val="Heading9Char"/>
    <w:uiPriority w:val="9"/>
    <w:semiHidden/>
    <w:unhideWhenUsed/>
    <w:qFormat/>
    <w:rsid w:val="00A10FD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qFormat/>
    <w:pPr>
      <w:spacing w:before="180" w:after="180"/>
    </w:p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link w:val="TitleChar"/>
    <w:uiPriority w:val="10"/>
    <w:qFormat/>
    <w:rsid w:val="00A10FD9"/>
    <w:pPr>
      <w:spacing w:after="80"/>
      <w:contextualSpacing/>
      <w:jc w:val="center"/>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10FD9"/>
    <w:rPr>
      <w:rFonts w:asciiTheme="majorHAnsi" w:eastAsiaTheme="majorEastAsia" w:hAnsiTheme="majorHAnsi" w:cstheme="majorBidi"/>
      <w:spacing w:val="-10"/>
      <w:kern w:val="28"/>
      <w:sz w:val="56"/>
      <w:szCs w:val="56"/>
    </w:rPr>
  </w:style>
  <w:style w:type="paragraph" w:styleId="Subtitle">
    <w:name w:val="Subtitle"/>
    <w:basedOn w:val="Title"/>
    <w:next w:val="BodyText"/>
    <w:link w:val="SubtitleChar"/>
    <w:uiPriority w:val="11"/>
    <w:qFormat/>
    <w:rsid w:val="00A10FD9"/>
    <w:pPr>
      <w:numPr>
        <w:ilvl w:val="1"/>
      </w:numPr>
    </w:pPr>
    <w:rPr>
      <w:spacing w:val="15"/>
      <w:sz w:val="28"/>
      <w:szCs w:val="28"/>
    </w:rPr>
  </w:style>
  <w:style w:type="character" w:customStyle="1" w:styleId="SubtitleChar">
    <w:name w:val="Subtitle Char"/>
    <w:basedOn w:val="DefaultParagraphFont"/>
    <w:link w:val="Subtitle"/>
    <w:uiPriority w:val="11"/>
    <w:rsid w:val="00A10FD9"/>
    <w:rPr>
      <w:rFonts w:eastAsiaTheme="majorEastAsia" w:cstheme="majorBidi"/>
      <w:color w:val="595959" w:themeColor="text1" w:themeTint="A6"/>
      <w:spacing w:val="15"/>
      <w:sz w:val="28"/>
      <w:szCs w:val="28"/>
    </w:rPr>
  </w:style>
  <w:style w:type="paragraph" w:customStyle="1" w:styleId="Author">
    <w:name w:val="Author"/>
    <w:next w:val="BodyText"/>
    <w:qFormat/>
    <w:pPr>
      <w:keepNext/>
      <w:keepLines/>
      <w:jc w:val="center"/>
    </w:pPr>
  </w:style>
  <w:style w:type="paragraph" w:styleId="Date">
    <w:name w:val="Date"/>
    <w:next w:val="BodyText"/>
    <w:qFormat/>
    <w:pPr>
      <w:keepNext/>
      <w:keepLines/>
      <w:jc w:val="center"/>
    </w:pPr>
  </w:style>
  <w:style w:type="paragraph" w:customStyle="1" w:styleId="AbstractTitle">
    <w:name w:val="Abstract Title"/>
    <w:basedOn w:val="Normal"/>
    <w:next w:val="Abstract"/>
    <w:qFormat/>
    <w:pPr>
      <w:keepNext/>
      <w:keepLines/>
      <w:spacing w:before="300" w:after="0"/>
      <w:jc w:val="center"/>
    </w:pPr>
    <w:rPr>
      <w:b/>
      <w:sz w:val="20"/>
      <w:szCs w:val="20"/>
    </w:rPr>
  </w:style>
  <w:style w:type="paragraph" w:customStyle="1" w:styleId="Abstract">
    <w:name w:val="Abstract"/>
    <w:basedOn w:val="Normal"/>
    <w:next w:val="BodyText"/>
    <w:qFormat/>
    <w:pPr>
      <w:keepNext/>
      <w:keepLines/>
      <w:spacing w:before="100" w:after="300"/>
    </w:pPr>
    <w:rPr>
      <w:sz w:val="20"/>
      <w:szCs w:val="20"/>
    </w:rPr>
  </w:style>
  <w:style w:type="paragraph" w:styleId="Bibliography">
    <w:name w:val="Bibliography"/>
    <w:basedOn w:val="Normal"/>
    <w:qFormat/>
  </w:style>
  <w:style w:type="character" w:customStyle="1" w:styleId="Heading1Char">
    <w:name w:val="Heading 1 Char"/>
    <w:basedOn w:val="DefaultParagraphFont"/>
    <w:link w:val="Heading1"/>
    <w:uiPriority w:val="9"/>
    <w:rsid w:val="00A10FD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10FD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10FD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10FD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10FD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10FD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10FD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10FD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10FD9"/>
    <w:rPr>
      <w:rFonts w:eastAsiaTheme="majorEastAsia" w:cstheme="majorBidi"/>
      <w:color w:val="272727" w:themeColor="text1" w:themeTint="D8"/>
    </w:rPr>
  </w:style>
  <w:style w:type="paragraph" w:styleId="BlockText">
    <w:name w:val="Block Text"/>
    <w:basedOn w:val="BodyText"/>
    <w:next w:val="BodyText"/>
    <w:uiPriority w:val="9"/>
    <w:unhideWhenUsed/>
    <w:qFormat/>
    <w:pPr>
      <w:spacing w:before="100" w:after="100"/>
      <w:ind w:left="480" w:right="480"/>
    </w:pPr>
  </w:style>
  <w:style w:type="paragraph" w:styleId="FootnoteText">
    <w:name w:val="footnote text"/>
    <w:basedOn w:val="Normal"/>
    <w:uiPriority w:val="9"/>
    <w:unhideWhenUsed/>
    <w:qFormat/>
  </w:style>
  <w:style w:type="paragraph" w:customStyle="1" w:styleId="FootnoteBlockText">
    <w:name w:val="Footnote Block Text"/>
    <w:basedOn w:val="FootnoteText"/>
    <w:next w:val="FootnoteText"/>
    <w:uiPriority w:val="9"/>
    <w:unhideWhenUsed/>
    <w:qFormat/>
    <w:pPr>
      <w:spacing w:before="100" w:after="100"/>
      <w:ind w:left="480" w:right="480"/>
    </w:pPr>
  </w:style>
  <w:style w:type="table" w:customStyle="1" w:styleId="Table">
    <w:name w:val="Table"/>
    <w:semiHidden/>
    <w:unhideWhenUsed/>
    <w:qFormat/>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CaptionChar"/>
    <w:pPr>
      <w:spacing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CaptionedFigure">
    <w:name w:val="Captioned Figure"/>
    <w:basedOn w:val="Figure"/>
    <w:pPr>
      <w:keepNext/>
    </w:pPr>
  </w:style>
  <w:style w:type="character" w:customStyle="1" w:styleId="CaptionChar">
    <w:name w:val="Caption Char"/>
    <w:basedOn w:val="DefaultParagraphFont"/>
    <w:link w:val="Caption"/>
  </w:style>
  <w:style w:type="character" w:customStyle="1" w:styleId="VerbatimChar">
    <w:name w:val="Verbatim Char"/>
    <w:basedOn w:val="CaptionChar"/>
    <w:link w:val="SourceCode"/>
    <w:rPr>
      <w:rFonts w:ascii="Consolas" w:hAnsi="Consolas"/>
      <w:sz w:val="22"/>
    </w:rPr>
  </w:style>
  <w:style w:type="character" w:customStyle="1" w:styleId="SectionNumber">
    <w:name w:val="Section Number"/>
    <w:basedOn w:val="CaptionChar"/>
  </w:style>
  <w:style w:type="character" w:styleId="FootnoteReference">
    <w:name w:val="footnote reference"/>
    <w:basedOn w:val="CaptionChar"/>
    <w:rPr>
      <w:vertAlign w:val="superscript"/>
    </w:rPr>
  </w:style>
  <w:style w:type="character" w:styleId="Hyperlink">
    <w:name w:val="Hyperlink"/>
    <w:basedOn w:val="CaptionChar"/>
    <w:rPr>
      <w:color w:val="156082" w:themeColor="accent1"/>
    </w:rPr>
  </w:style>
  <w:style w:type="paragraph" w:styleId="TOCHeading">
    <w:name w:val="TOC Heading"/>
    <w:basedOn w:val="Heading1"/>
    <w:next w:val="BodyText"/>
    <w:uiPriority w:val="39"/>
    <w:unhideWhenUsed/>
    <w:qFormat/>
    <w:pPr>
      <w:spacing w:before="240" w:line="259" w:lineRule="auto"/>
      <w:outlineLvl w:val="9"/>
    </w:pPr>
  </w:style>
  <w:style w:type="paragraph" w:customStyle="1" w:styleId="SourceCode">
    <w:name w:val="Source Code"/>
    <w:basedOn w:val="Normal"/>
    <w:link w:val="VerbatimChar"/>
    <w:pPr>
      <w:wordWrap w:val="0"/>
    </w:pPr>
  </w:style>
  <w:style w:type="character" w:customStyle="1" w:styleId="KeywordTok">
    <w:name w:val="KeywordTok"/>
    <w:basedOn w:val="VerbatimChar"/>
    <w:rPr>
      <w:rFonts w:ascii="Consolas" w:hAnsi="Consolas"/>
      <w:b/>
      <w:color w:val="007020"/>
      <w:sz w:val="22"/>
    </w:rPr>
  </w:style>
  <w:style w:type="character" w:customStyle="1" w:styleId="DataTypeTok">
    <w:name w:val="DataTypeTok"/>
    <w:basedOn w:val="VerbatimChar"/>
    <w:rPr>
      <w:rFonts w:ascii="Consolas" w:hAnsi="Consolas"/>
      <w:color w:val="902000"/>
      <w:sz w:val="22"/>
    </w:rPr>
  </w:style>
  <w:style w:type="character" w:customStyle="1" w:styleId="DecValTok">
    <w:name w:val="DecValTok"/>
    <w:basedOn w:val="VerbatimChar"/>
    <w:rPr>
      <w:rFonts w:ascii="Consolas" w:hAnsi="Consolas"/>
      <w:color w:val="40A070"/>
      <w:sz w:val="22"/>
    </w:rPr>
  </w:style>
  <w:style w:type="character" w:customStyle="1" w:styleId="BaseNTok">
    <w:name w:val="BaseNTok"/>
    <w:basedOn w:val="VerbatimChar"/>
    <w:rPr>
      <w:rFonts w:ascii="Consolas" w:hAnsi="Consolas"/>
      <w:color w:val="40A070"/>
      <w:sz w:val="22"/>
    </w:rPr>
  </w:style>
  <w:style w:type="character" w:customStyle="1" w:styleId="FloatTok">
    <w:name w:val="FloatTok"/>
    <w:basedOn w:val="VerbatimChar"/>
    <w:rPr>
      <w:rFonts w:ascii="Consolas" w:hAnsi="Consolas"/>
      <w:color w:val="40A070"/>
      <w:sz w:val="22"/>
    </w:rPr>
  </w:style>
  <w:style w:type="character" w:customStyle="1" w:styleId="ConstantTok">
    <w:name w:val="ConstantTok"/>
    <w:basedOn w:val="VerbatimChar"/>
    <w:rPr>
      <w:rFonts w:ascii="Consolas" w:hAnsi="Consolas"/>
      <w:color w:val="880000"/>
      <w:sz w:val="22"/>
    </w:rPr>
  </w:style>
  <w:style w:type="character" w:customStyle="1" w:styleId="CharTok">
    <w:name w:val="CharTok"/>
    <w:basedOn w:val="VerbatimChar"/>
    <w:rPr>
      <w:rFonts w:ascii="Consolas" w:hAnsi="Consolas"/>
      <w:color w:val="4070A0"/>
      <w:sz w:val="22"/>
    </w:rPr>
  </w:style>
  <w:style w:type="character" w:customStyle="1" w:styleId="SpecialCharTok">
    <w:name w:val="SpecialCharTok"/>
    <w:basedOn w:val="VerbatimChar"/>
    <w:rPr>
      <w:rFonts w:ascii="Consolas" w:hAnsi="Consolas"/>
      <w:color w:val="4070A0"/>
      <w:sz w:val="22"/>
    </w:rPr>
  </w:style>
  <w:style w:type="character" w:customStyle="1" w:styleId="StringTok">
    <w:name w:val="StringTok"/>
    <w:basedOn w:val="VerbatimChar"/>
    <w:rPr>
      <w:rFonts w:ascii="Consolas" w:hAnsi="Consolas"/>
      <w:color w:val="4070A0"/>
      <w:sz w:val="22"/>
    </w:rPr>
  </w:style>
  <w:style w:type="character" w:customStyle="1" w:styleId="VerbatimStringTok">
    <w:name w:val="VerbatimStringTok"/>
    <w:basedOn w:val="VerbatimChar"/>
    <w:rPr>
      <w:rFonts w:ascii="Consolas" w:hAnsi="Consolas"/>
      <w:color w:val="4070A0"/>
      <w:sz w:val="22"/>
    </w:rPr>
  </w:style>
  <w:style w:type="character" w:customStyle="1" w:styleId="SpecialStringTok">
    <w:name w:val="SpecialStringTok"/>
    <w:basedOn w:val="VerbatimChar"/>
    <w:rPr>
      <w:rFonts w:ascii="Consolas" w:hAnsi="Consolas"/>
      <w:color w:val="BB6688"/>
      <w:sz w:val="22"/>
    </w:rPr>
  </w:style>
  <w:style w:type="character" w:customStyle="1" w:styleId="ImportTok">
    <w:name w:val="ImportTok"/>
    <w:basedOn w:val="VerbatimChar"/>
    <w:rPr>
      <w:rFonts w:ascii="Consolas" w:hAnsi="Consolas"/>
      <w:b/>
      <w:color w:val="008000"/>
      <w:sz w:val="22"/>
    </w:rPr>
  </w:style>
  <w:style w:type="character" w:customStyle="1" w:styleId="CommentTok">
    <w:name w:val="CommentTok"/>
    <w:basedOn w:val="VerbatimChar"/>
    <w:rPr>
      <w:rFonts w:ascii="Consolas" w:hAnsi="Consolas"/>
      <w:i/>
      <w:color w:val="60A0B0"/>
      <w:sz w:val="22"/>
    </w:rPr>
  </w:style>
  <w:style w:type="character" w:customStyle="1" w:styleId="DocumentationTok">
    <w:name w:val="DocumentationTok"/>
    <w:basedOn w:val="VerbatimChar"/>
    <w:rPr>
      <w:rFonts w:ascii="Consolas" w:hAnsi="Consolas"/>
      <w:i/>
      <w:color w:val="BA2121"/>
      <w:sz w:val="22"/>
    </w:rPr>
  </w:style>
  <w:style w:type="character" w:customStyle="1" w:styleId="AnnotationTok">
    <w:name w:val="AnnotationTok"/>
    <w:basedOn w:val="VerbatimChar"/>
    <w:rPr>
      <w:rFonts w:ascii="Consolas" w:hAnsi="Consolas"/>
      <w:b/>
      <w:i/>
      <w:color w:val="60A0B0"/>
      <w:sz w:val="22"/>
    </w:rPr>
  </w:style>
  <w:style w:type="character" w:customStyle="1" w:styleId="CommentVarTok">
    <w:name w:val="CommentVarTok"/>
    <w:basedOn w:val="VerbatimChar"/>
    <w:rPr>
      <w:rFonts w:ascii="Consolas" w:hAnsi="Consolas"/>
      <w:b/>
      <w:i/>
      <w:color w:val="60A0B0"/>
      <w:sz w:val="22"/>
    </w:rPr>
  </w:style>
  <w:style w:type="character" w:customStyle="1" w:styleId="OtherTok">
    <w:name w:val="OtherTok"/>
    <w:basedOn w:val="VerbatimChar"/>
    <w:rPr>
      <w:rFonts w:ascii="Consolas" w:hAnsi="Consolas"/>
      <w:color w:val="007020"/>
      <w:sz w:val="22"/>
    </w:rPr>
  </w:style>
  <w:style w:type="character" w:customStyle="1" w:styleId="FunctionTok">
    <w:name w:val="FunctionTok"/>
    <w:basedOn w:val="VerbatimChar"/>
    <w:rPr>
      <w:rFonts w:ascii="Consolas" w:hAnsi="Consolas"/>
      <w:color w:val="06287E"/>
      <w:sz w:val="22"/>
    </w:rPr>
  </w:style>
  <w:style w:type="character" w:customStyle="1" w:styleId="VariableTok">
    <w:name w:val="VariableTok"/>
    <w:basedOn w:val="VerbatimChar"/>
    <w:rPr>
      <w:rFonts w:ascii="Consolas" w:hAnsi="Consolas"/>
      <w:color w:val="19177C"/>
      <w:sz w:val="22"/>
    </w:rPr>
  </w:style>
  <w:style w:type="character" w:customStyle="1" w:styleId="ControlFlowTok">
    <w:name w:val="ControlFlowTok"/>
    <w:basedOn w:val="VerbatimChar"/>
    <w:rPr>
      <w:rFonts w:ascii="Consolas" w:hAnsi="Consolas"/>
      <w:b/>
      <w:color w:val="007020"/>
      <w:sz w:val="22"/>
    </w:rPr>
  </w:style>
  <w:style w:type="character" w:customStyle="1" w:styleId="OperatorTok">
    <w:name w:val="OperatorTok"/>
    <w:basedOn w:val="VerbatimChar"/>
    <w:rPr>
      <w:rFonts w:ascii="Consolas" w:hAnsi="Consolas"/>
      <w:color w:val="666666"/>
      <w:sz w:val="22"/>
    </w:rPr>
  </w:style>
  <w:style w:type="character" w:customStyle="1" w:styleId="BuiltInTok">
    <w:name w:val="BuiltInTok"/>
    <w:basedOn w:val="VerbatimChar"/>
    <w:rPr>
      <w:rFonts w:ascii="Consolas" w:hAnsi="Consolas"/>
      <w:color w:val="008000"/>
      <w:sz w:val="22"/>
    </w:rPr>
  </w:style>
  <w:style w:type="character" w:customStyle="1" w:styleId="ExtensionTok">
    <w:name w:val="ExtensionTok"/>
    <w:basedOn w:val="VerbatimChar"/>
    <w:rPr>
      <w:rFonts w:ascii="Consolas" w:hAnsi="Consolas"/>
      <w:sz w:val="22"/>
    </w:rPr>
  </w:style>
  <w:style w:type="character" w:customStyle="1" w:styleId="PreprocessorTok">
    <w:name w:val="PreprocessorTok"/>
    <w:basedOn w:val="VerbatimChar"/>
    <w:rPr>
      <w:rFonts w:ascii="Consolas" w:hAnsi="Consolas"/>
      <w:color w:val="BC7A00"/>
      <w:sz w:val="22"/>
    </w:rPr>
  </w:style>
  <w:style w:type="character" w:customStyle="1" w:styleId="AttributeTok">
    <w:name w:val="AttributeTok"/>
    <w:basedOn w:val="VerbatimChar"/>
    <w:rPr>
      <w:rFonts w:ascii="Consolas" w:hAnsi="Consolas"/>
      <w:color w:val="7D9029"/>
      <w:sz w:val="22"/>
    </w:rPr>
  </w:style>
  <w:style w:type="character" w:customStyle="1" w:styleId="RegionMarkerTok">
    <w:name w:val="RegionMarkerTok"/>
    <w:basedOn w:val="VerbatimChar"/>
    <w:rPr>
      <w:rFonts w:ascii="Consolas" w:hAnsi="Consolas"/>
      <w:sz w:val="22"/>
    </w:rPr>
  </w:style>
  <w:style w:type="character" w:customStyle="1" w:styleId="InformationTok">
    <w:name w:val="InformationTok"/>
    <w:basedOn w:val="VerbatimChar"/>
    <w:rPr>
      <w:rFonts w:ascii="Consolas" w:hAnsi="Consolas"/>
      <w:b/>
      <w:i/>
      <w:color w:val="60A0B0"/>
      <w:sz w:val="22"/>
    </w:rPr>
  </w:style>
  <w:style w:type="character" w:customStyle="1" w:styleId="WarningTok">
    <w:name w:val="WarningTok"/>
    <w:basedOn w:val="VerbatimChar"/>
    <w:rPr>
      <w:rFonts w:ascii="Consolas" w:hAnsi="Consolas"/>
      <w:b/>
      <w:i/>
      <w:color w:val="60A0B0"/>
      <w:sz w:val="22"/>
    </w:rPr>
  </w:style>
  <w:style w:type="character" w:customStyle="1" w:styleId="AlertTok">
    <w:name w:val="AlertTok"/>
    <w:basedOn w:val="VerbatimChar"/>
    <w:rPr>
      <w:rFonts w:ascii="Consolas" w:hAnsi="Consolas"/>
      <w:b/>
      <w:color w:val="FF0000"/>
      <w:sz w:val="22"/>
    </w:rPr>
  </w:style>
  <w:style w:type="character" w:customStyle="1" w:styleId="ErrorTok">
    <w:name w:val="ErrorTok"/>
    <w:basedOn w:val="VerbatimChar"/>
    <w:rPr>
      <w:rFonts w:ascii="Consolas" w:hAnsi="Consolas"/>
      <w:b/>
      <w:color w:val="FF0000"/>
      <w:sz w:val="22"/>
    </w:rPr>
  </w:style>
  <w:style w:type="character" w:customStyle="1" w:styleId="NormalTok">
    <w:name w:val="NormalTok"/>
    <w:basedOn w:val="VerbatimChar"/>
    <w:rPr>
      <w:rFonts w:ascii="Consolas" w:hAnsi="Consolas"/>
      <w:sz w:val="22"/>
    </w:rPr>
  </w:style>
  <w:style w:type="paragraph" w:styleId="Header">
    <w:name w:val="header"/>
    <w:basedOn w:val="Normal"/>
    <w:link w:val="HeaderChar"/>
    <w:rsid w:val="00D86756"/>
    <w:pPr>
      <w:tabs>
        <w:tab w:val="center" w:pos="4680"/>
        <w:tab w:val="right" w:pos="9360"/>
      </w:tabs>
      <w:spacing w:after="0"/>
    </w:pPr>
  </w:style>
  <w:style w:type="character" w:customStyle="1" w:styleId="HeaderChar">
    <w:name w:val="Header Char"/>
    <w:basedOn w:val="DefaultParagraphFont"/>
    <w:link w:val="Header"/>
    <w:rsid w:val="00D86756"/>
  </w:style>
  <w:style w:type="paragraph" w:styleId="Footer">
    <w:name w:val="footer"/>
    <w:basedOn w:val="Normal"/>
    <w:link w:val="FooterChar"/>
    <w:uiPriority w:val="99"/>
    <w:rsid w:val="00D86756"/>
    <w:pPr>
      <w:tabs>
        <w:tab w:val="center" w:pos="4680"/>
        <w:tab w:val="right" w:pos="9360"/>
      </w:tabs>
      <w:spacing w:after="0"/>
    </w:pPr>
  </w:style>
  <w:style w:type="character" w:customStyle="1" w:styleId="FooterChar">
    <w:name w:val="Footer Char"/>
    <w:basedOn w:val="DefaultParagraphFont"/>
    <w:link w:val="Footer"/>
    <w:uiPriority w:val="99"/>
    <w:rsid w:val="00D86756"/>
  </w:style>
  <w:style w:type="character" w:customStyle="1" w:styleId="UnresolvedMention">
    <w:name w:val="Unresolved Mention"/>
    <w:basedOn w:val="DefaultParagraphFont"/>
    <w:uiPriority w:val="99"/>
    <w:semiHidden/>
    <w:unhideWhenUsed/>
    <w:rsid w:val="00FE3CC0"/>
    <w:rPr>
      <w:color w:val="605E5C"/>
      <w:shd w:val="clear" w:color="auto" w:fill="E1DFDD"/>
    </w:rPr>
  </w:style>
  <w:style w:type="paragraph" w:styleId="BalloonText">
    <w:name w:val="Balloon Text"/>
    <w:basedOn w:val="Normal"/>
    <w:link w:val="BalloonTextChar"/>
    <w:rsid w:val="00312D73"/>
    <w:pPr>
      <w:spacing w:after="0"/>
    </w:pPr>
    <w:rPr>
      <w:rFonts w:ascii="Segoe UI" w:hAnsi="Segoe UI" w:cs="Segoe UI"/>
      <w:sz w:val="18"/>
      <w:szCs w:val="18"/>
    </w:rPr>
  </w:style>
  <w:style w:type="character" w:customStyle="1" w:styleId="BalloonTextChar">
    <w:name w:val="Balloon Text Char"/>
    <w:basedOn w:val="DefaultParagraphFont"/>
    <w:link w:val="BalloonText"/>
    <w:rsid w:val="00312D7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478198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ngomezuluP@unizulu.ac.za" TargetMode="External"/><Relationship Id="rId13" Type="http://schemas.openxmlformats.org/officeDocument/2006/relationships/hyperlink" Target="https://doi.org/10.1016/S0140-6736(16)31390-3" TargetMode="External"/><Relationship Id="rId18" Type="http://schemas.openxmlformats.org/officeDocument/2006/relationships/hyperlink" Target="https://doi.org/10.1136/bmjgh-2018-001302" TargetMode="External"/><Relationship Id="rId3" Type="http://schemas.microsoft.com/office/2007/relationships/stylesWithEffects" Target="stylesWithEffects.xml"/><Relationship Id="rId21" Type="http://schemas.openxmlformats.org/officeDocument/2006/relationships/hyperlink" Target="https://iris.who.int/handle/10665/272603" TargetMode="External"/><Relationship Id="rId7" Type="http://schemas.openxmlformats.org/officeDocument/2006/relationships/endnotes" Target="endnotes.xml"/><Relationship Id="rId12" Type="http://schemas.openxmlformats.org/officeDocument/2006/relationships/hyperlink" Target="https://doi.org/10.1177/174569161665599" TargetMode="External"/><Relationship Id="rId17" Type="http://schemas.openxmlformats.org/officeDocument/2006/relationships/hyperlink" Target="https://doi.org/10.1002/cad.20362" TargetMode="External"/><Relationship Id="rId2" Type="http://schemas.openxmlformats.org/officeDocument/2006/relationships/styles" Target="styles.xml"/><Relationship Id="rId16" Type="http://schemas.openxmlformats.org/officeDocument/2006/relationships/hyperlink" Target="https://doi.org/10.1080/00207590544000008" TargetMode="External"/><Relationship Id="rId20" Type="http://schemas.openxmlformats.org/officeDocument/2006/relationships/hyperlink" Target="https://doi.org/10.1002/cad.20073"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doi.org/10.1016/S0140-6736(16)31389-7"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1371/journal.pmed.1003602" TargetMode="External"/><Relationship Id="rId23" Type="http://schemas.openxmlformats.org/officeDocument/2006/relationships/fontTable" Target="fontTable.xml"/><Relationship Id="rId10" Type="http://schemas.openxmlformats.org/officeDocument/2006/relationships/image" Target="media/image2.svg"/><Relationship Id="rId19" Type="http://schemas.openxmlformats.org/officeDocument/2006/relationships/hyperlink" Target="https://doi.org/10.1007/s11159-022-09962-7"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doi.org/10.1016/S0140-6736(16)31659-2"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22</Pages>
  <Words>6936</Words>
  <Characters>39537</Characters>
  <Application>Microsoft Office Word</Application>
  <DocSecurity>0</DocSecurity>
  <Lines>329</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46381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Languages Department</dc:creator>
  <cp:lastModifiedBy>User</cp:lastModifiedBy>
  <cp:revision>2</cp:revision>
  <dcterms:created xsi:type="dcterms:W3CDTF">2026-06-23T14:18:00Z</dcterms:created>
  <dcterms:modified xsi:type="dcterms:W3CDTF">2026-06-23T14:18:00Z</dcterms:modified>
</cp:coreProperties>
</file>